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5E32133" w14:textId="2290B289" w:rsidR="0040332B" w:rsidRDefault="0040332B" w:rsidP="009B697F">
      <w:pPr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17CAA6BF" w14:textId="77777777" w:rsidR="00732C64" w:rsidRDefault="00C00349" w:rsidP="00291BBB">
      <w:pPr>
        <w:jc w:val="center"/>
        <w:rPr>
          <w:rFonts w:ascii="Calibri" w:eastAsia="Calibri" w:hAnsi="Calibri" w:cs="Calibri"/>
          <w:b/>
          <w:bCs/>
          <w:sz w:val="27"/>
          <w:szCs w:val="27"/>
          <w:lang w:val="cs-CZ"/>
        </w:rPr>
      </w:pPr>
      <w:bookmarkStart w:id="0" w:name="_GoBack"/>
      <w:bookmarkEnd w:id="0"/>
      <w:r w:rsidRPr="00C00349">
        <w:rPr>
          <w:rFonts w:ascii="Calibri" w:eastAsia="Calibri" w:hAnsi="Calibri" w:cs="Calibri"/>
          <w:b/>
          <w:bCs/>
          <w:sz w:val="27"/>
          <w:szCs w:val="27"/>
          <w:lang w:val="cs-CZ"/>
        </w:rPr>
        <w:t>CBRE Shopping Centre Index</w:t>
      </w:r>
      <w:r w:rsidR="00673E71">
        <w:rPr>
          <w:rFonts w:ascii="Calibri" w:eastAsia="Calibri" w:hAnsi="Calibri" w:cs="Calibri"/>
          <w:b/>
          <w:bCs/>
          <w:sz w:val="27"/>
          <w:szCs w:val="27"/>
          <w:lang w:val="cs-CZ"/>
        </w:rPr>
        <w:t xml:space="preserve">: </w:t>
      </w:r>
    </w:p>
    <w:p w14:paraId="53B07C88" w14:textId="546BB82A" w:rsidR="00EC05EF" w:rsidRDefault="00673E71" w:rsidP="00291BBB">
      <w:pPr>
        <w:jc w:val="center"/>
        <w:rPr>
          <w:rFonts w:ascii="Calibri" w:eastAsia="Calibri" w:hAnsi="Calibri" w:cs="Calibri"/>
          <w:b/>
          <w:bCs/>
          <w:sz w:val="27"/>
          <w:szCs w:val="27"/>
          <w:lang w:val="cs-CZ"/>
        </w:rPr>
      </w:pPr>
      <w:r>
        <w:rPr>
          <w:rFonts w:ascii="Calibri" w:eastAsia="Calibri" w:hAnsi="Calibri" w:cs="Calibri"/>
          <w:b/>
          <w:bCs/>
          <w:sz w:val="27"/>
          <w:szCs w:val="27"/>
          <w:lang w:val="cs-CZ"/>
        </w:rPr>
        <w:t>T</w:t>
      </w:r>
      <w:r w:rsidR="00EC05EF">
        <w:rPr>
          <w:rFonts w:ascii="Calibri" w:eastAsia="Calibri" w:hAnsi="Calibri" w:cs="Calibri"/>
          <w:b/>
          <w:bCs/>
          <w:sz w:val="27"/>
          <w:szCs w:val="27"/>
          <w:lang w:val="cs-CZ"/>
        </w:rPr>
        <w:t xml:space="preserve">vrdé dopady </w:t>
      </w:r>
      <w:r w:rsidR="00D63761">
        <w:rPr>
          <w:rFonts w:ascii="Calibri" w:eastAsia="Calibri" w:hAnsi="Calibri" w:cs="Calibri"/>
          <w:b/>
          <w:bCs/>
          <w:sz w:val="27"/>
          <w:szCs w:val="27"/>
          <w:lang w:val="cs-CZ"/>
        </w:rPr>
        <w:t>koronakrize</w:t>
      </w:r>
      <w:r w:rsidR="00EC05EF">
        <w:rPr>
          <w:rFonts w:ascii="Calibri" w:eastAsia="Calibri" w:hAnsi="Calibri" w:cs="Calibri"/>
          <w:b/>
          <w:bCs/>
          <w:sz w:val="27"/>
          <w:szCs w:val="27"/>
          <w:lang w:val="cs-CZ"/>
        </w:rPr>
        <w:t xml:space="preserve"> na retailový trh versus nové příležitosti na obzoru</w:t>
      </w:r>
    </w:p>
    <w:p w14:paraId="4DB18EEA" w14:textId="77777777" w:rsidR="00C00349" w:rsidRDefault="00C00349" w:rsidP="00291BBB">
      <w:pPr>
        <w:jc w:val="center"/>
        <w:rPr>
          <w:rFonts w:ascii="Calibri" w:eastAsia="Calibri" w:hAnsi="Calibri" w:cs="Calibri"/>
          <w:b/>
          <w:bCs/>
          <w:sz w:val="27"/>
          <w:szCs w:val="27"/>
          <w:lang w:val="cs-CZ"/>
        </w:rPr>
      </w:pPr>
    </w:p>
    <w:p w14:paraId="58619C8F" w14:textId="64D6626E" w:rsidR="00151796" w:rsidRDefault="006400E6" w:rsidP="000C5660">
      <w:pPr>
        <w:jc w:val="both"/>
        <w:rPr>
          <w:rFonts w:ascii="Calibri" w:eastAsia="Calibri" w:hAnsi="Calibri" w:cs="Calibri"/>
          <w:bCs/>
          <w:lang w:val="cs-CZ"/>
        </w:rPr>
      </w:pPr>
      <w:r>
        <w:rPr>
          <w:rFonts w:ascii="Calibri" w:eastAsia="Calibri" w:hAnsi="Calibri" w:cs="Calibri"/>
          <w:lang w:val="cs-CZ"/>
        </w:rPr>
        <w:t>Praha</w:t>
      </w:r>
      <w:r w:rsidRPr="0024184B">
        <w:rPr>
          <w:rFonts w:ascii="Calibri" w:eastAsia="Calibri" w:hAnsi="Calibri" w:cs="Calibri"/>
          <w:lang w:val="cs-CZ"/>
        </w:rPr>
        <w:t xml:space="preserve">, </w:t>
      </w:r>
      <w:r w:rsidR="00DD2FFF">
        <w:rPr>
          <w:rFonts w:ascii="Calibri" w:eastAsia="Calibri" w:hAnsi="Calibri" w:cs="Calibri"/>
          <w:lang w:val="cs-CZ"/>
        </w:rPr>
        <w:t>23</w:t>
      </w:r>
      <w:r w:rsidRPr="0024184B">
        <w:rPr>
          <w:rFonts w:ascii="Calibri" w:eastAsia="Calibri" w:hAnsi="Calibri" w:cs="Calibri"/>
          <w:color w:val="auto"/>
          <w:lang w:val="cs-CZ"/>
        </w:rPr>
        <w:t>.</w:t>
      </w:r>
      <w:r>
        <w:rPr>
          <w:rFonts w:ascii="Calibri" w:eastAsia="Calibri" w:hAnsi="Calibri" w:cs="Calibri"/>
          <w:color w:val="auto"/>
          <w:lang w:val="cs-CZ"/>
        </w:rPr>
        <w:t xml:space="preserve"> </w:t>
      </w:r>
      <w:r w:rsidR="00242E44">
        <w:rPr>
          <w:rFonts w:ascii="Calibri" w:eastAsia="Calibri" w:hAnsi="Calibri" w:cs="Calibri"/>
          <w:color w:val="auto"/>
          <w:lang w:val="cs-CZ"/>
        </w:rPr>
        <w:t>června</w:t>
      </w:r>
      <w:r>
        <w:rPr>
          <w:rFonts w:ascii="Calibri" w:eastAsia="Calibri" w:hAnsi="Calibri" w:cs="Calibri"/>
          <w:color w:val="auto"/>
          <w:lang w:val="cs-CZ"/>
        </w:rPr>
        <w:t xml:space="preserve"> </w:t>
      </w:r>
      <w:r w:rsidR="00DD2FFF">
        <w:rPr>
          <w:rFonts w:ascii="Calibri" w:eastAsia="Calibri" w:hAnsi="Calibri" w:cs="Calibri"/>
          <w:lang w:val="cs-CZ"/>
        </w:rPr>
        <w:t>2021</w:t>
      </w:r>
      <w:r w:rsidR="00192C75">
        <w:rPr>
          <w:rFonts w:ascii="Calibri" w:eastAsia="Calibri" w:hAnsi="Calibri" w:cs="Calibri"/>
          <w:lang w:val="cs-CZ"/>
        </w:rPr>
        <w:t xml:space="preserve"> </w:t>
      </w:r>
      <w:r>
        <w:rPr>
          <w:rFonts w:ascii="Calibri" w:eastAsia="Calibri" w:hAnsi="Calibri" w:cs="Calibri"/>
          <w:lang w:val="cs-CZ"/>
        </w:rPr>
        <w:t xml:space="preserve">– </w:t>
      </w:r>
      <w:r w:rsidR="00675DA5">
        <w:rPr>
          <w:rFonts w:ascii="Calibri" w:eastAsia="Calibri" w:hAnsi="Calibri" w:cs="Calibri"/>
          <w:bCs/>
          <w:lang w:val="cs-CZ"/>
        </w:rPr>
        <w:t>S</w:t>
      </w:r>
      <w:r w:rsidR="00675DA5" w:rsidRPr="00F93CA4">
        <w:rPr>
          <w:rFonts w:ascii="Calibri" w:eastAsia="Calibri" w:hAnsi="Calibri" w:cs="Calibri"/>
          <w:bCs/>
          <w:lang w:val="cs-CZ"/>
        </w:rPr>
        <w:t xml:space="preserve">polečnost CBRE, světový lídr v oblasti správy a pronájmu maloobchodních prostor, </w:t>
      </w:r>
      <w:r w:rsidR="00732C64">
        <w:rPr>
          <w:rFonts w:ascii="Calibri" w:eastAsia="Calibri" w:hAnsi="Calibri" w:cs="Calibri"/>
          <w:bCs/>
          <w:lang w:val="cs-CZ"/>
        </w:rPr>
        <w:t>přichází s již devátým</w:t>
      </w:r>
      <w:r w:rsidR="00675DA5">
        <w:rPr>
          <w:rFonts w:ascii="Calibri" w:eastAsia="Calibri" w:hAnsi="Calibri" w:cs="Calibri"/>
          <w:bCs/>
          <w:lang w:val="cs-CZ"/>
        </w:rPr>
        <w:t xml:space="preserve"> vydání</w:t>
      </w:r>
      <w:r w:rsidR="00732C64">
        <w:rPr>
          <w:rFonts w:ascii="Calibri" w:eastAsia="Calibri" w:hAnsi="Calibri" w:cs="Calibri"/>
          <w:bCs/>
          <w:lang w:val="cs-CZ"/>
        </w:rPr>
        <w:t>m</w:t>
      </w:r>
      <w:r w:rsidR="00675DA5">
        <w:rPr>
          <w:rFonts w:ascii="Calibri" w:eastAsia="Calibri" w:hAnsi="Calibri" w:cs="Calibri"/>
          <w:bCs/>
          <w:lang w:val="cs-CZ"/>
        </w:rPr>
        <w:t xml:space="preserve"> </w:t>
      </w:r>
      <w:r w:rsidR="007D54A7">
        <w:rPr>
          <w:rFonts w:ascii="Calibri" w:eastAsia="Calibri" w:hAnsi="Calibri" w:cs="Calibri"/>
          <w:bCs/>
          <w:lang w:val="cs-CZ"/>
        </w:rPr>
        <w:t xml:space="preserve">rozsáhlé </w:t>
      </w:r>
      <w:r w:rsidR="00675DA5">
        <w:rPr>
          <w:rFonts w:ascii="Calibri" w:eastAsia="Calibri" w:hAnsi="Calibri" w:cs="Calibri"/>
          <w:bCs/>
          <w:lang w:val="cs-CZ"/>
        </w:rPr>
        <w:t xml:space="preserve">analýzy </w:t>
      </w:r>
      <w:r w:rsidR="00675DA5" w:rsidRPr="00F93CA4">
        <w:rPr>
          <w:rFonts w:ascii="Calibri" w:eastAsia="Calibri" w:hAnsi="Calibri" w:cs="Calibri"/>
          <w:bCs/>
          <w:lang w:val="cs-CZ"/>
        </w:rPr>
        <w:t>Shopping Centre Index, kter</w:t>
      </w:r>
      <w:r w:rsidR="00675DA5">
        <w:rPr>
          <w:rFonts w:ascii="Calibri" w:eastAsia="Calibri" w:hAnsi="Calibri" w:cs="Calibri"/>
          <w:bCs/>
          <w:lang w:val="cs-CZ"/>
        </w:rPr>
        <w:t xml:space="preserve">á </w:t>
      </w:r>
      <w:r w:rsidR="00192C75">
        <w:rPr>
          <w:rFonts w:ascii="Calibri" w:eastAsia="Calibri" w:hAnsi="Calibri" w:cs="Calibri"/>
          <w:bCs/>
          <w:lang w:val="cs-CZ"/>
        </w:rPr>
        <w:t>na základě pěti hlavních ukazatelů - návštěvnosti, dosahovaných obratů, hodnoty nákupního koše, výše nájmů a míry neobsazenosti - posuzuje</w:t>
      </w:r>
      <w:r w:rsidR="00675DA5">
        <w:rPr>
          <w:rFonts w:ascii="Calibri" w:eastAsia="Calibri" w:hAnsi="Calibri" w:cs="Calibri"/>
          <w:bCs/>
          <w:lang w:val="cs-CZ"/>
        </w:rPr>
        <w:t xml:space="preserve"> výkonnost regionálních nákupních</w:t>
      </w:r>
      <w:r w:rsidR="00675DA5" w:rsidRPr="00F93CA4">
        <w:rPr>
          <w:rFonts w:ascii="Calibri" w:eastAsia="Calibri" w:hAnsi="Calibri" w:cs="Calibri"/>
          <w:bCs/>
          <w:lang w:val="cs-CZ"/>
        </w:rPr>
        <w:t xml:space="preserve"> cent</w:t>
      </w:r>
      <w:r w:rsidR="00675DA5">
        <w:rPr>
          <w:rFonts w:ascii="Calibri" w:eastAsia="Calibri" w:hAnsi="Calibri" w:cs="Calibri"/>
          <w:bCs/>
          <w:lang w:val="cs-CZ"/>
        </w:rPr>
        <w:t>er</w:t>
      </w:r>
      <w:r w:rsidR="00675DA5" w:rsidRPr="00F93CA4">
        <w:rPr>
          <w:rFonts w:ascii="Calibri" w:eastAsia="Calibri" w:hAnsi="Calibri" w:cs="Calibri"/>
          <w:bCs/>
          <w:lang w:val="cs-CZ"/>
        </w:rPr>
        <w:t xml:space="preserve"> v České republice</w:t>
      </w:r>
      <w:r w:rsidR="00192C75">
        <w:rPr>
          <w:rFonts w:ascii="Calibri" w:eastAsia="Calibri" w:hAnsi="Calibri" w:cs="Calibri"/>
          <w:bCs/>
          <w:lang w:val="cs-CZ"/>
        </w:rPr>
        <w:t xml:space="preserve">. </w:t>
      </w:r>
      <w:r w:rsidR="00675DA5">
        <w:rPr>
          <w:rFonts w:ascii="Calibri" w:eastAsia="Calibri" w:hAnsi="Calibri" w:cs="Calibri"/>
          <w:lang w:val="cs-CZ"/>
        </w:rPr>
        <w:t>Ačkoliv</w:t>
      </w:r>
      <w:r w:rsidR="00675DA5" w:rsidRPr="00675DA5">
        <w:rPr>
          <w:rFonts w:ascii="Calibri" w:eastAsia="Calibri" w:hAnsi="Calibri" w:cs="Calibri"/>
          <w:lang w:val="cs-CZ"/>
        </w:rPr>
        <w:t xml:space="preserve"> drti</w:t>
      </w:r>
      <w:r w:rsidR="00675DA5">
        <w:rPr>
          <w:rFonts w:ascii="Calibri" w:eastAsia="Calibri" w:hAnsi="Calibri" w:cs="Calibri"/>
          <w:lang w:val="cs-CZ"/>
        </w:rPr>
        <w:t xml:space="preserve">vá většina prodejců </w:t>
      </w:r>
      <w:r w:rsidR="00151796">
        <w:rPr>
          <w:rFonts w:ascii="Calibri" w:eastAsia="Calibri" w:hAnsi="Calibri" w:cs="Calibri"/>
          <w:lang w:val="cs-CZ"/>
        </w:rPr>
        <w:t xml:space="preserve">by </w:t>
      </w:r>
      <w:r w:rsidR="007D54A7">
        <w:rPr>
          <w:rFonts w:ascii="Calibri" w:eastAsia="Calibri" w:hAnsi="Calibri" w:cs="Calibri"/>
          <w:lang w:val="cs-CZ"/>
        </w:rPr>
        <w:t xml:space="preserve">na rok 2020 </w:t>
      </w:r>
      <w:r w:rsidR="00675DA5">
        <w:rPr>
          <w:rFonts w:ascii="Calibri" w:eastAsia="Calibri" w:hAnsi="Calibri" w:cs="Calibri"/>
          <w:lang w:val="cs-CZ"/>
        </w:rPr>
        <w:t xml:space="preserve">ráda zapomněla, </w:t>
      </w:r>
      <w:r w:rsidR="00151796">
        <w:rPr>
          <w:rFonts w:ascii="Calibri" w:eastAsia="Calibri" w:hAnsi="Calibri" w:cs="Calibri"/>
          <w:lang w:val="cs-CZ"/>
        </w:rPr>
        <w:t>právě pochopení skutečných dopadů koronakrize se stává klíčové pro další oživení trhu</w:t>
      </w:r>
      <w:r w:rsidR="0030407F">
        <w:rPr>
          <w:rFonts w:ascii="Calibri" w:eastAsia="Calibri" w:hAnsi="Calibri" w:cs="Calibri"/>
          <w:lang w:val="cs-CZ"/>
        </w:rPr>
        <w:t xml:space="preserve"> v budoucnosti</w:t>
      </w:r>
      <w:r w:rsidR="00151796">
        <w:rPr>
          <w:rFonts w:ascii="Calibri" w:eastAsia="Calibri" w:hAnsi="Calibri" w:cs="Calibri"/>
          <w:lang w:val="cs-CZ"/>
        </w:rPr>
        <w:t xml:space="preserve">. </w:t>
      </w:r>
      <w:r w:rsidR="0030407F">
        <w:rPr>
          <w:rFonts w:ascii="Calibri" w:eastAsia="Calibri" w:hAnsi="Calibri" w:cs="Calibri"/>
          <w:lang w:val="cs-CZ"/>
        </w:rPr>
        <w:t>Je nezbytné</w:t>
      </w:r>
      <w:r w:rsidR="00151796" w:rsidRPr="00675DA5">
        <w:rPr>
          <w:rFonts w:ascii="Calibri" w:eastAsia="Calibri" w:hAnsi="Calibri" w:cs="Calibri"/>
          <w:lang w:val="cs-CZ"/>
        </w:rPr>
        <w:t xml:space="preserve"> porozumět změnám chování zákazníků, nájemců </w:t>
      </w:r>
      <w:r w:rsidR="00151796">
        <w:rPr>
          <w:rFonts w:ascii="Calibri" w:eastAsia="Calibri" w:hAnsi="Calibri" w:cs="Calibri"/>
          <w:lang w:val="cs-CZ"/>
        </w:rPr>
        <w:t>i</w:t>
      </w:r>
      <w:r w:rsidR="00151796" w:rsidRPr="00675DA5">
        <w:rPr>
          <w:rFonts w:ascii="Calibri" w:eastAsia="Calibri" w:hAnsi="Calibri" w:cs="Calibri"/>
          <w:lang w:val="cs-CZ"/>
        </w:rPr>
        <w:t xml:space="preserve"> pronajímatelů, aby</w:t>
      </w:r>
      <w:r w:rsidR="0030407F">
        <w:rPr>
          <w:rFonts w:ascii="Calibri" w:eastAsia="Calibri" w:hAnsi="Calibri" w:cs="Calibri"/>
          <w:lang w:val="cs-CZ"/>
        </w:rPr>
        <w:t xml:space="preserve"> bylo možné </w:t>
      </w:r>
      <w:r w:rsidR="00151796">
        <w:rPr>
          <w:rFonts w:ascii="Calibri" w:eastAsia="Calibri" w:hAnsi="Calibri" w:cs="Calibri"/>
          <w:lang w:val="cs-CZ"/>
        </w:rPr>
        <w:t>identifikovat</w:t>
      </w:r>
      <w:r w:rsidR="00151796" w:rsidRPr="00675DA5">
        <w:rPr>
          <w:rFonts w:ascii="Calibri" w:eastAsia="Calibri" w:hAnsi="Calibri" w:cs="Calibri"/>
          <w:lang w:val="cs-CZ"/>
        </w:rPr>
        <w:t xml:space="preserve"> </w:t>
      </w:r>
      <w:r w:rsidR="000523BE">
        <w:rPr>
          <w:rFonts w:ascii="Calibri" w:eastAsia="Calibri" w:hAnsi="Calibri" w:cs="Calibri"/>
          <w:lang w:val="cs-CZ"/>
        </w:rPr>
        <w:t xml:space="preserve">nové </w:t>
      </w:r>
      <w:r w:rsidR="00151796" w:rsidRPr="00675DA5">
        <w:rPr>
          <w:rFonts w:ascii="Calibri" w:eastAsia="Calibri" w:hAnsi="Calibri" w:cs="Calibri"/>
          <w:lang w:val="cs-CZ"/>
        </w:rPr>
        <w:t xml:space="preserve">příležitosti, které pandemie vytvořila. </w:t>
      </w:r>
      <w:r w:rsidR="00151796" w:rsidRPr="00F93CA4">
        <w:rPr>
          <w:rFonts w:ascii="Calibri" w:eastAsia="Calibri" w:hAnsi="Calibri" w:cs="Calibri"/>
          <w:bCs/>
          <w:lang w:val="cs-CZ"/>
        </w:rPr>
        <w:t xml:space="preserve">Odborníci CBRE komentují </w:t>
      </w:r>
      <w:r w:rsidR="00251493">
        <w:rPr>
          <w:rFonts w:ascii="Calibri" w:eastAsia="Calibri" w:hAnsi="Calibri" w:cs="Calibri"/>
          <w:bCs/>
          <w:lang w:val="cs-CZ"/>
        </w:rPr>
        <w:t>situaci</w:t>
      </w:r>
      <w:r w:rsidR="00151796" w:rsidRPr="00F93CA4">
        <w:rPr>
          <w:rFonts w:ascii="Calibri" w:eastAsia="Calibri" w:hAnsi="Calibri" w:cs="Calibri"/>
          <w:bCs/>
          <w:lang w:val="cs-CZ"/>
        </w:rPr>
        <w:t xml:space="preserve"> </w:t>
      </w:r>
      <w:r w:rsidR="00AD1328">
        <w:rPr>
          <w:rFonts w:ascii="Calibri" w:eastAsia="Calibri" w:hAnsi="Calibri" w:cs="Calibri"/>
          <w:bCs/>
          <w:lang w:val="cs-CZ"/>
        </w:rPr>
        <w:t>na</w:t>
      </w:r>
      <w:r w:rsidR="00DE6FB1">
        <w:rPr>
          <w:rFonts w:ascii="Calibri" w:eastAsia="Calibri" w:hAnsi="Calibri" w:cs="Calibri"/>
          <w:bCs/>
          <w:lang w:val="cs-CZ"/>
        </w:rPr>
        <w:t> </w:t>
      </w:r>
      <w:r w:rsidR="00AD1328">
        <w:rPr>
          <w:rFonts w:ascii="Calibri" w:eastAsia="Calibri" w:hAnsi="Calibri" w:cs="Calibri"/>
          <w:bCs/>
          <w:lang w:val="cs-CZ"/>
        </w:rPr>
        <w:t>maloobchodním</w:t>
      </w:r>
      <w:r w:rsidR="00151796">
        <w:rPr>
          <w:rFonts w:ascii="Calibri" w:eastAsia="Calibri" w:hAnsi="Calibri" w:cs="Calibri"/>
          <w:bCs/>
          <w:lang w:val="cs-CZ"/>
        </w:rPr>
        <w:t xml:space="preserve"> trhu </w:t>
      </w:r>
      <w:r w:rsidR="00151796" w:rsidRPr="00F93CA4">
        <w:rPr>
          <w:rFonts w:ascii="Calibri" w:eastAsia="Calibri" w:hAnsi="Calibri" w:cs="Calibri"/>
          <w:bCs/>
          <w:lang w:val="cs-CZ"/>
        </w:rPr>
        <w:t>v kontextu rozsáhlého průzkumu výkonnosti 2</w:t>
      </w:r>
      <w:r w:rsidR="00CE2D3C">
        <w:rPr>
          <w:rFonts w:ascii="Calibri" w:eastAsia="Calibri" w:hAnsi="Calibri" w:cs="Calibri"/>
          <w:bCs/>
          <w:lang w:val="cs-CZ"/>
        </w:rPr>
        <w:t xml:space="preserve">0 regionálních nákupních center, </w:t>
      </w:r>
      <w:r w:rsidR="004D7982">
        <w:rPr>
          <w:rFonts w:ascii="Calibri" w:eastAsia="Calibri" w:hAnsi="Calibri" w:cs="Calibri"/>
          <w:bCs/>
          <w:lang w:val="cs-CZ"/>
        </w:rPr>
        <w:t>které představují</w:t>
      </w:r>
      <w:r w:rsidR="00151796">
        <w:rPr>
          <w:rFonts w:ascii="Calibri" w:eastAsia="Calibri" w:hAnsi="Calibri" w:cs="Calibri"/>
          <w:bCs/>
          <w:lang w:val="cs-CZ"/>
        </w:rPr>
        <w:t xml:space="preserve"> nákupní</w:t>
      </w:r>
      <w:r w:rsidR="00151796" w:rsidRPr="00F93CA4">
        <w:rPr>
          <w:rFonts w:ascii="Calibri" w:eastAsia="Calibri" w:hAnsi="Calibri" w:cs="Calibri"/>
          <w:bCs/>
          <w:lang w:val="cs-CZ"/>
        </w:rPr>
        <w:t xml:space="preserve"> ploch</w:t>
      </w:r>
      <w:r w:rsidR="00151796">
        <w:rPr>
          <w:rFonts w:ascii="Calibri" w:eastAsia="Calibri" w:hAnsi="Calibri" w:cs="Calibri"/>
          <w:bCs/>
          <w:lang w:val="cs-CZ"/>
        </w:rPr>
        <w:t xml:space="preserve">u </w:t>
      </w:r>
      <w:r w:rsidR="000908FB">
        <w:rPr>
          <w:rFonts w:ascii="Calibri" w:eastAsia="Calibri" w:hAnsi="Calibri" w:cs="Calibri"/>
          <w:bCs/>
          <w:lang w:val="cs-CZ"/>
        </w:rPr>
        <w:t xml:space="preserve">dosahující </w:t>
      </w:r>
      <w:r w:rsidR="00151796">
        <w:rPr>
          <w:rFonts w:ascii="Calibri" w:eastAsia="Calibri" w:hAnsi="Calibri" w:cs="Calibri"/>
          <w:bCs/>
          <w:lang w:val="cs-CZ"/>
        </w:rPr>
        <w:t>575</w:t>
      </w:r>
      <w:r w:rsidR="00151796" w:rsidRPr="00F93CA4">
        <w:rPr>
          <w:rFonts w:ascii="Calibri" w:eastAsia="Calibri" w:hAnsi="Calibri" w:cs="Calibri"/>
          <w:bCs/>
          <w:lang w:val="cs-CZ"/>
        </w:rPr>
        <w:t xml:space="preserve"> 000 m</w:t>
      </w:r>
      <w:r w:rsidR="00151796" w:rsidRPr="00F93CA4">
        <w:rPr>
          <w:rFonts w:ascii="Calibri" w:eastAsia="Calibri" w:hAnsi="Calibri" w:cs="Calibri"/>
          <w:bCs/>
          <w:vertAlign w:val="superscript"/>
          <w:lang w:val="cs-CZ"/>
        </w:rPr>
        <w:t>2</w:t>
      </w:r>
      <w:r w:rsidR="00151796" w:rsidRPr="00F93CA4">
        <w:rPr>
          <w:rFonts w:ascii="Calibri" w:eastAsia="Calibri" w:hAnsi="Calibri" w:cs="Calibri"/>
          <w:bCs/>
          <w:lang w:val="cs-CZ"/>
        </w:rPr>
        <w:t>.</w:t>
      </w:r>
      <w:r w:rsidR="00151796">
        <w:rPr>
          <w:rFonts w:ascii="Calibri" w:eastAsia="Calibri" w:hAnsi="Calibri" w:cs="Calibri"/>
          <w:bCs/>
          <w:lang w:val="cs-CZ"/>
        </w:rPr>
        <w:t xml:space="preserve"> </w:t>
      </w:r>
    </w:p>
    <w:p w14:paraId="656B8464" w14:textId="77777777" w:rsidR="00151796" w:rsidRDefault="00151796" w:rsidP="000C5660">
      <w:pPr>
        <w:jc w:val="both"/>
        <w:rPr>
          <w:rFonts w:ascii="Calibri" w:eastAsia="Calibri" w:hAnsi="Calibri" w:cs="Calibri"/>
          <w:bCs/>
          <w:lang w:val="cs-CZ"/>
        </w:rPr>
      </w:pPr>
    </w:p>
    <w:p w14:paraId="490C79CD" w14:textId="5ABD4E95" w:rsidR="00A36390" w:rsidRDefault="0032288E" w:rsidP="006032A0">
      <w:pPr>
        <w:jc w:val="both"/>
        <w:rPr>
          <w:rFonts w:ascii="Calibri" w:eastAsia="Calibri" w:hAnsi="Calibri" w:cs="Calibri"/>
          <w:bCs/>
          <w:lang w:val="cs-CZ"/>
        </w:rPr>
      </w:pPr>
      <w:r w:rsidRPr="00A96AFB">
        <w:rPr>
          <w:rFonts w:ascii="Calibri" w:eastAsia="Calibri" w:hAnsi="Calibri" w:cs="Calibri"/>
          <w:bCs/>
          <w:i/>
          <w:lang w:val="cs-CZ"/>
        </w:rPr>
        <w:t>„</w:t>
      </w:r>
      <w:r w:rsidR="000523BE" w:rsidRPr="00A96AFB">
        <w:rPr>
          <w:rFonts w:ascii="Calibri" w:eastAsia="Calibri" w:hAnsi="Calibri" w:cs="Calibri"/>
          <w:bCs/>
          <w:i/>
          <w:lang w:val="cs-CZ"/>
        </w:rPr>
        <w:t xml:space="preserve">Před nástupem pandemie </w:t>
      </w:r>
      <w:r w:rsidR="00AD1328" w:rsidRPr="00A96AFB">
        <w:rPr>
          <w:rFonts w:ascii="Calibri" w:eastAsia="Calibri" w:hAnsi="Calibri" w:cs="Calibri"/>
          <w:bCs/>
          <w:i/>
          <w:lang w:val="cs-CZ"/>
        </w:rPr>
        <w:t>covid</w:t>
      </w:r>
      <w:r w:rsidR="00B52D8E">
        <w:rPr>
          <w:rFonts w:ascii="Calibri" w:eastAsia="Calibri" w:hAnsi="Calibri" w:cs="Calibri"/>
          <w:bCs/>
          <w:i/>
          <w:lang w:val="cs-CZ"/>
        </w:rPr>
        <w:t>u</w:t>
      </w:r>
      <w:r w:rsidR="00AD1328" w:rsidRPr="00A96AFB">
        <w:rPr>
          <w:rFonts w:ascii="Calibri" w:eastAsia="Calibri" w:hAnsi="Calibri" w:cs="Calibri"/>
          <w:bCs/>
          <w:i/>
          <w:lang w:val="cs-CZ"/>
        </w:rPr>
        <w:t xml:space="preserve">-19 </w:t>
      </w:r>
      <w:r w:rsidR="000523BE" w:rsidRPr="00A96AFB">
        <w:rPr>
          <w:rFonts w:ascii="Calibri" w:eastAsia="Calibri" w:hAnsi="Calibri" w:cs="Calibri"/>
          <w:bCs/>
          <w:i/>
          <w:lang w:val="cs-CZ"/>
        </w:rPr>
        <w:t xml:space="preserve">se výkonnost obchodních center vyvíjela šest let po sobě </w:t>
      </w:r>
      <w:r w:rsidR="00317ED7">
        <w:rPr>
          <w:rFonts w:ascii="Calibri" w:eastAsia="Calibri" w:hAnsi="Calibri" w:cs="Calibri"/>
          <w:bCs/>
          <w:i/>
          <w:lang w:val="cs-CZ"/>
        </w:rPr>
        <w:t>rostoucím tempem</w:t>
      </w:r>
      <w:r w:rsidR="00D11FBD">
        <w:rPr>
          <w:rStyle w:val="Odkaznakoment"/>
        </w:rPr>
        <w:t xml:space="preserve">. </w:t>
      </w:r>
      <w:r w:rsidR="00AD1328" w:rsidRPr="00A96AFB">
        <w:rPr>
          <w:rFonts w:ascii="Calibri" w:eastAsia="Calibri" w:hAnsi="Calibri" w:cs="Calibri"/>
          <w:bCs/>
          <w:i/>
          <w:lang w:val="cs-CZ"/>
        </w:rPr>
        <w:t xml:space="preserve">Nicméně </w:t>
      </w:r>
      <w:r w:rsidR="00E2231D" w:rsidRPr="00A96AFB">
        <w:rPr>
          <w:rFonts w:ascii="Calibri" w:eastAsia="Calibri" w:hAnsi="Calibri" w:cs="Calibri"/>
          <w:bCs/>
          <w:i/>
          <w:lang w:val="cs-CZ"/>
        </w:rPr>
        <w:t xml:space="preserve">rok 2020 s sebou přinesl výrazná protikoronavirová opatření včetně </w:t>
      </w:r>
      <w:r w:rsidR="00CE2D3C" w:rsidRPr="00A96AFB">
        <w:rPr>
          <w:rFonts w:ascii="Calibri" w:eastAsia="Calibri" w:hAnsi="Calibri" w:cs="Calibri"/>
          <w:bCs/>
          <w:i/>
          <w:lang w:val="cs-CZ"/>
        </w:rPr>
        <w:t>tří zásadních omezení</w:t>
      </w:r>
      <w:r w:rsidR="00317ED7">
        <w:rPr>
          <w:rFonts w:ascii="Calibri" w:eastAsia="Calibri" w:hAnsi="Calibri" w:cs="Calibri"/>
          <w:bCs/>
          <w:i/>
          <w:lang w:val="cs-CZ"/>
        </w:rPr>
        <w:t xml:space="preserve"> provozu </w:t>
      </w:r>
      <w:r w:rsidR="00E2231D" w:rsidRPr="00A96AFB">
        <w:rPr>
          <w:rFonts w:ascii="Calibri" w:eastAsia="Calibri" w:hAnsi="Calibri" w:cs="Calibri"/>
          <w:bCs/>
          <w:i/>
          <w:lang w:val="cs-CZ"/>
        </w:rPr>
        <w:t>obchodů</w:t>
      </w:r>
      <w:r w:rsidR="000908FB">
        <w:rPr>
          <w:rFonts w:ascii="Calibri" w:eastAsia="Calibri" w:hAnsi="Calibri" w:cs="Calibri"/>
          <w:bCs/>
          <w:i/>
          <w:lang w:val="cs-CZ"/>
        </w:rPr>
        <w:t>, gastronomie</w:t>
      </w:r>
      <w:r w:rsidR="00E2231D" w:rsidRPr="00A96AFB">
        <w:rPr>
          <w:rFonts w:ascii="Calibri" w:eastAsia="Calibri" w:hAnsi="Calibri" w:cs="Calibri"/>
          <w:bCs/>
          <w:i/>
          <w:lang w:val="cs-CZ"/>
        </w:rPr>
        <w:t xml:space="preserve"> a služeb. </w:t>
      </w:r>
      <w:r w:rsidR="00CE2D3C" w:rsidRPr="00A96AFB">
        <w:rPr>
          <w:rFonts w:ascii="Calibri" w:eastAsia="Calibri" w:hAnsi="Calibri" w:cs="Calibri"/>
          <w:bCs/>
          <w:i/>
          <w:lang w:val="cs-CZ"/>
        </w:rPr>
        <w:t>V celkovém součtu byla většina kamenných prod</w:t>
      </w:r>
      <w:r w:rsidR="00732C64">
        <w:rPr>
          <w:rFonts w:ascii="Calibri" w:eastAsia="Calibri" w:hAnsi="Calibri" w:cs="Calibri"/>
          <w:bCs/>
          <w:i/>
          <w:lang w:val="cs-CZ"/>
        </w:rPr>
        <w:t>ejen uzavřena po dobu 10</w:t>
      </w:r>
      <w:r w:rsidR="000908FB">
        <w:rPr>
          <w:rFonts w:ascii="Calibri" w:eastAsia="Calibri" w:hAnsi="Calibri" w:cs="Calibri"/>
          <w:bCs/>
          <w:i/>
          <w:lang w:val="cs-CZ"/>
        </w:rPr>
        <w:t>5</w:t>
      </w:r>
      <w:r w:rsidR="00732C64">
        <w:rPr>
          <w:rFonts w:ascii="Calibri" w:eastAsia="Calibri" w:hAnsi="Calibri" w:cs="Calibri"/>
          <w:bCs/>
          <w:i/>
          <w:lang w:val="cs-CZ"/>
        </w:rPr>
        <w:t xml:space="preserve"> dní, u </w:t>
      </w:r>
      <w:r w:rsidR="000908FB">
        <w:rPr>
          <w:rFonts w:ascii="Calibri" w:eastAsia="Calibri" w:hAnsi="Calibri" w:cs="Calibri"/>
          <w:bCs/>
          <w:i/>
          <w:lang w:val="cs-CZ"/>
        </w:rPr>
        <w:t xml:space="preserve">gastronomie </w:t>
      </w:r>
      <w:r w:rsidR="00732C64">
        <w:rPr>
          <w:rFonts w:ascii="Calibri" w:eastAsia="Calibri" w:hAnsi="Calibri" w:cs="Calibri"/>
          <w:bCs/>
          <w:i/>
          <w:lang w:val="cs-CZ"/>
        </w:rPr>
        <w:t>to bylo</w:t>
      </w:r>
      <w:r w:rsidR="00E2231D" w:rsidRPr="00A96AFB">
        <w:rPr>
          <w:rFonts w:ascii="Calibri" w:eastAsia="Calibri" w:hAnsi="Calibri" w:cs="Calibri"/>
          <w:bCs/>
          <w:i/>
          <w:lang w:val="cs-CZ"/>
        </w:rPr>
        <w:t xml:space="preserve"> </w:t>
      </w:r>
      <w:r w:rsidR="00CE2D3C" w:rsidRPr="00A96AFB">
        <w:rPr>
          <w:rFonts w:ascii="Calibri" w:eastAsia="Calibri" w:hAnsi="Calibri" w:cs="Calibri"/>
          <w:bCs/>
          <w:i/>
          <w:lang w:val="cs-CZ"/>
        </w:rPr>
        <w:t>téměř</w:t>
      </w:r>
      <w:r w:rsidR="00E2231D" w:rsidRPr="00A96AFB">
        <w:rPr>
          <w:rFonts w:ascii="Calibri" w:eastAsia="Calibri" w:hAnsi="Calibri" w:cs="Calibri"/>
          <w:bCs/>
          <w:i/>
          <w:lang w:val="cs-CZ"/>
        </w:rPr>
        <w:t xml:space="preserve"> 130 dní.</w:t>
      </w:r>
      <w:r w:rsidR="00A36390" w:rsidRPr="00A96AFB">
        <w:rPr>
          <w:rFonts w:ascii="Calibri" w:eastAsia="Calibri" w:hAnsi="Calibri" w:cs="Calibri"/>
          <w:bCs/>
          <w:i/>
          <w:lang w:val="cs-CZ"/>
        </w:rPr>
        <w:t xml:space="preserve"> </w:t>
      </w:r>
      <w:r w:rsidR="00A612A6">
        <w:rPr>
          <w:rFonts w:ascii="Calibri" w:eastAsia="Calibri" w:hAnsi="Calibri" w:cs="Calibri"/>
          <w:bCs/>
          <w:i/>
          <w:lang w:val="cs-CZ"/>
        </w:rPr>
        <w:t xml:space="preserve">Za </w:t>
      </w:r>
      <w:r w:rsidR="00245B9A">
        <w:rPr>
          <w:rFonts w:ascii="Calibri" w:eastAsia="Calibri" w:hAnsi="Calibri" w:cs="Calibri"/>
          <w:bCs/>
          <w:i/>
          <w:lang w:val="cs-CZ"/>
        </w:rPr>
        <w:t>běžných</w:t>
      </w:r>
      <w:r w:rsidR="00A612A6">
        <w:rPr>
          <w:rFonts w:ascii="Calibri" w:eastAsia="Calibri" w:hAnsi="Calibri" w:cs="Calibri"/>
          <w:bCs/>
          <w:i/>
          <w:lang w:val="cs-CZ"/>
        </w:rPr>
        <w:t xml:space="preserve"> okolností </w:t>
      </w:r>
      <w:r w:rsidR="00300A1A">
        <w:rPr>
          <w:rFonts w:ascii="Calibri" w:eastAsia="Calibri" w:hAnsi="Calibri" w:cs="Calibri"/>
          <w:bCs/>
          <w:i/>
          <w:lang w:val="cs-CZ"/>
        </w:rPr>
        <w:t>má vliv na</w:t>
      </w:r>
      <w:r w:rsidR="00732C64">
        <w:rPr>
          <w:rFonts w:ascii="Calibri" w:eastAsia="Calibri" w:hAnsi="Calibri" w:cs="Calibri"/>
          <w:bCs/>
          <w:i/>
          <w:lang w:val="cs-CZ"/>
        </w:rPr>
        <w:t> </w:t>
      </w:r>
      <w:r w:rsidR="00A612A6">
        <w:rPr>
          <w:rFonts w:ascii="Calibri" w:eastAsia="Calibri" w:hAnsi="Calibri" w:cs="Calibri"/>
          <w:bCs/>
          <w:i/>
          <w:lang w:val="cs-CZ"/>
        </w:rPr>
        <w:t>úspěch obchodního centra a jeho odolnost</w:t>
      </w:r>
      <w:r w:rsidR="00A612A6" w:rsidRPr="00A612A6">
        <w:rPr>
          <w:rFonts w:ascii="Calibri" w:eastAsia="Calibri" w:hAnsi="Calibri" w:cs="Calibri"/>
          <w:bCs/>
          <w:i/>
          <w:lang w:val="cs-CZ"/>
        </w:rPr>
        <w:t xml:space="preserve"> vůči konkurenci lokalita, velikost</w:t>
      </w:r>
      <w:r w:rsidR="00A612A6">
        <w:rPr>
          <w:rFonts w:ascii="Calibri" w:eastAsia="Calibri" w:hAnsi="Calibri" w:cs="Calibri"/>
          <w:bCs/>
          <w:i/>
          <w:lang w:val="cs-CZ"/>
        </w:rPr>
        <w:t xml:space="preserve"> nákupní galerie</w:t>
      </w:r>
      <w:r w:rsidR="00732C64">
        <w:rPr>
          <w:rFonts w:ascii="Calibri" w:eastAsia="Calibri" w:hAnsi="Calibri" w:cs="Calibri"/>
          <w:bCs/>
          <w:i/>
          <w:lang w:val="cs-CZ"/>
        </w:rPr>
        <w:t xml:space="preserve"> a </w:t>
      </w:r>
      <w:r w:rsidR="001065D6">
        <w:rPr>
          <w:rFonts w:ascii="Calibri" w:eastAsia="Calibri" w:hAnsi="Calibri" w:cs="Calibri"/>
          <w:bCs/>
          <w:i/>
          <w:lang w:val="cs-CZ"/>
        </w:rPr>
        <w:t xml:space="preserve">mix </w:t>
      </w:r>
      <w:r w:rsidR="00A612A6" w:rsidRPr="00A612A6">
        <w:rPr>
          <w:rFonts w:ascii="Calibri" w:eastAsia="Calibri" w:hAnsi="Calibri" w:cs="Calibri"/>
          <w:bCs/>
          <w:i/>
          <w:lang w:val="cs-CZ"/>
        </w:rPr>
        <w:t xml:space="preserve">nájemců. </w:t>
      </w:r>
      <w:r w:rsidR="00A612A6">
        <w:rPr>
          <w:rFonts w:ascii="Calibri" w:eastAsia="Calibri" w:hAnsi="Calibri" w:cs="Calibri"/>
          <w:bCs/>
          <w:i/>
          <w:lang w:val="cs-CZ"/>
        </w:rPr>
        <w:t>Vloni</w:t>
      </w:r>
      <w:r w:rsidR="00A612A6" w:rsidRPr="00A612A6">
        <w:rPr>
          <w:rFonts w:ascii="Calibri" w:eastAsia="Calibri" w:hAnsi="Calibri" w:cs="Calibri"/>
          <w:bCs/>
          <w:i/>
          <w:lang w:val="cs-CZ"/>
        </w:rPr>
        <w:t xml:space="preserve"> </w:t>
      </w:r>
      <w:r w:rsidR="00A612A6">
        <w:rPr>
          <w:rFonts w:ascii="Calibri" w:eastAsia="Calibri" w:hAnsi="Calibri" w:cs="Calibri"/>
          <w:bCs/>
          <w:i/>
          <w:lang w:val="cs-CZ"/>
        </w:rPr>
        <w:t>se</w:t>
      </w:r>
      <w:r w:rsidR="00A612A6" w:rsidRPr="00A612A6">
        <w:rPr>
          <w:rFonts w:ascii="Calibri" w:eastAsia="Calibri" w:hAnsi="Calibri" w:cs="Calibri"/>
          <w:bCs/>
          <w:i/>
          <w:lang w:val="cs-CZ"/>
        </w:rPr>
        <w:t>h</w:t>
      </w:r>
      <w:r w:rsidR="00732C64">
        <w:rPr>
          <w:rFonts w:ascii="Calibri" w:eastAsia="Calibri" w:hAnsi="Calibri" w:cs="Calibri"/>
          <w:bCs/>
          <w:i/>
          <w:lang w:val="cs-CZ"/>
        </w:rPr>
        <w:t xml:space="preserve">rál rozhodující roli </w:t>
      </w:r>
      <w:r w:rsidR="00A612A6" w:rsidRPr="00A612A6">
        <w:rPr>
          <w:rFonts w:ascii="Calibri" w:eastAsia="Calibri" w:hAnsi="Calibri" w:cs="Calibri"/>
          <w:bCs/>
          <w:i/>
          <w:lang w:val="cs-CZ"/>
        </w:rPr>
        <w:t>podíl</w:t>
      </w:r>
      <w:r w:rsidR="00732C64">
        <w:rPr>
          <w:rFonts w:ascii="Calibri" w:eastAsia="Calibri" w:hAnsi="Calibri" w:cs="Calibri"/>
          <w:bCs/>
          <w:i/>
          <w:lang w:val="cs-CZ"/>
        </w:rPr>
        <w:t xml:space="preserve">, jaký měly na celkové ploše obchodních center </w:t>
      </w:r>
      <w:r w:rsidR="00A612A6" w:rsidRPr="00A612A6">
        <w:rPr>
          <w:rFonts w:ascii="Calibri" w:eastAsia="Calibri" w:hAnsi="Calibri" w:cs="Calibri"/>
          <w:bCs/>
          <w:i/>
          <w:lang w:val="cs-CZ"/>
        </w:rPr>
        <w:t>ty</w:t>
      </w:r>
      <w:r w:rsidR="00EA6832">
        <w:rPr>
          <w:rFonts w:ascii="Calibri" w:eastAsia="Calibri" w:hAnsi="Calibri" w:cs="Calibri"/>
          <w:bCs/>
          <w:i/>
          <w:lang w:val="cs-CZ"/>
        </w:rPr>
        <w:t> </w:t>
      </w:r>
      <w:r w:rsidR="00A612A6" w:rsidRPr="00A612A6">
        <w:rPr>
          <w:rFonts w:ascii="Calibri" w:eastAsia="Calibri" w:hAnsi="Calibri" w:cs="Calibri"/>
          <w:bCs/>
          <w:i/>
          <w:lang w:val="cs-CZ"/>
        </w:rPr>
        <w:t>obchody a služby, které mohly být i přes vlá</w:t>
      </w:r>
      <w:r w:rsidR="00BA6986">
        <w:rPr>
          <w:rFonts w:ascii="Calibri" w:eastAsia="Calibri" w:hAnsi="Calibri" w:cs="Calibri"/>
          <w:bCs/>
          <w:i/>
          <w:lang w:val="cs-CZ"/>
        </w:rPr>
        <w:t>d</w:t>
      </w:r>
      <w:r w:rsidR="00A612A6" w:rsidRPr="00A612A6">
        <w:rPr>
          <w:rFonts w:ascii="Calibri" w:eastAsia="Calibri" w:hAnsi="Calibri" w:cs="Calibri"/>
          <w:bCs/>
          <w:i/>
          <w:lang w:val="cs-CZ"/>
        </w:rPr>
        <w:t>ní o</w:t>
      </w:r>
      <w:r w:rsidR="00A612A6">
        <w:rPr>
          <w:rFonts w:ascii="Calibri" w:eastAsia="Calibri" w:hAnsi="Calibri" w:cs="Calibri"/>
          <w:bCs/>
          <w:i/>
          <w:lang w:val="cs-CZ"/>
        </w:rPr>
        <w:t>mezení</w:t>
      </w:r>
      <w:r w:rsidR="00A612A6" w:rsidRPr="00A612A6">
        <w:rPr>
          <w:rFonts w:ascii="Calibri" w:eastAsia="Calibri" w:hAnsi="Calibri" w:cs="Calibri"/>
          <w:bCs/>
          <w:i/>
          <w:lang w:val="cs-CZ"/>
        </w:rPr>
        <w:t xml:space="preserve"> v pr</w:t>
      </w:r>
      <w:r w:rsidR="00A227F5">
        <w:rPr>
          <w:rFonts w:ascii="Calibri" w:eastAsia="Calibri" w:hAnsi="Calibri" w:cs="Calibri"/>
          <w:bCs/>
          <w:i/>
          <w:lang w:val="cs-CZ"/>
        </w:rPr>
        <w:t xml:space="preserve">ovozu. Právě tito nájemci </w:t>
      </w:r>
      <w:r w:rsidR="00F84434">
        <w:rPr>
          <w:rFonts w:ascii="Calibri" w:eastAsia="Calibri" w:hAnsi="Calibri" w:cs="Calibri"/>
          <w:bCs/>
          <w:i/>
          <w:lang w:val="cs-CZ"/>
        </w:rPr>
        <w:t>nakonec</w:t>
      </w:r>
      <w:r w:rsidR="00BA6986">
        <w:rPr>
          <w:rFonts w:ascii="Calibri" w:eastAsia="Calibri" w:hAnsi="Calibri" w:cs="Calibri"/>
          <w:bCs/>
          <w:i/>
          <w:lang w:val="cs-CZ"/>
        </w:rPr>
        <w:t xml:space="preserve"> </w:t>
      </w:r>
      <w:r w:rsidR="00300A1A">
        <w:rPr>
          <w:rFonts w:ascii="Calibri" w:eastAsia="Calibri" w:hAnsi="Calibri" w:cs="Calibri"/>
          <w:bCs/>
          <w:i/>
          <w:lang w:val="cs-CZ"/>
        </w:rPr>
        <w:t>ovlivňovali</w:t>
      </w:r>
      <w:r w:rsidR="005C025A">
        <w:rPr>
          <w:rFonts w:ascii="Calibri" w:eastAsia="Calibri" w:hAnsi="Calibri" w:cs="Calibri"/>
          <w:bCs/>
          <w:i/>
          <w:lang w:val="cs-CZ"/>
        </w:rPr>
        <w:t xml:space="preserve"> </w:t>
      </w:r>
      <w:r w:rsidR="00A612A6" w:rsidRPr="00A612A6">
        <w:rPr>
          <w:rFonts w:ascii="Calibri" w:eastAsia="Calibri" w:hAnsi="Calibri" w:cs="Calibri"/>
          <w:bCs/>
          <w:i/>
          <w:lang w:val="cs-CZ"/>
        </w:rPr>
        <w:t xml:space="preserve">celkovou návštěvnost </w:t>
      </w:r>
      <w:r w:rsidR="00A612A6">
        <w:rPr>
          <w:rFonts w:ascii="Calibri" w:eastAsia="Calibri" w:hAnsi="Calibri" w:cs="Calibri"/>
          <w:bCs/>
          <w:i/>
          <w:lang w:val="cs-CZ"/>
        </w:rPr>
        <w:t xml:space="preserve">centra i jeho ekonomické výsledky,“ </w:t>
      </w:r>
      <w:r w:rsidR="00B91BDD">
        <w:rPr>
          <w:rFonts w:ascii="Calibri" w:eastAsia="Calibri" w:hAnsi="Calibri" w:cs="Calibri"/>
          <w:bCs/>
          <w:lang w:val="cs-CZ"/>
        </w:rPr>
        <w:t>říká</w:t>
      </w:r>
      <w:r w:rsidR="00A612A6">
        <w:rPr>
          <w:rFonts w:ascii="Calibri" w:eastAsia="Calibri" w:hAnsi="Calibri" w:cs="Calibri"/>
          <w:bCs/>
          <w:lang w:val="cs-CZ"/>
        </w:rPr>
        <w:t xml:space="preserve"> </w:t>
      </w:r>
      <w:r w:rsidR="00A612A6" w:rsidRPr="00A96AFB">
        <w:rPr>
          <w:rFonts w:ascii="Calibri" w:eastAsia="Calibri" w:hAnsi="Calibri" w:cs="Calibri"/>
          <w:b/>
          <w:bCs/>
          <w:lang w:val="cs-CZ"/>
        </w:rPr>
        <w:t>Tomáš Míček</w:t>
      </w:r>
      <w:r w:rsidR="00A612A6" w:rsidRPr="00677D86">
        <w:rPr>
          <w:rFonts w:ascii="Calibri" w:eastAsia="Calibri" w:hAnsi="Calibri" w:cs="Calibri"/>
          <w:b/>
          <w:bCs/>
          <w:lang w:val="cs-CZ"/>
        </w:rPr>
        <w:t xml:space="preserve">, </w:t>
      </w:r>
      <w:r w:rsidR="00677D86" w:rsidRPr="00677D86">
        <w:rPr>
          <w:rFonts w:ascii="Calibri" w:eastAsia="Calibri" w:hAnsi="Calibri" w:cs="Calibri"/>
          <w:b/>
          <w:bCs/>
          <w:lang w:val="cs-CZ"/>
        </w:rPr>
        <w:t xml:space="preserve">vedoucí retail sektoru a </w:t>
      </w:r>
      <w:r w:rsidR="00317ED7" w:rsidRPr="00677D86">
        <w:rPr>
          <w:rFonts w:ascii="Calibri" w:eastAsia="Calibri" w:hAnsi="Calibri" w:cs="Calibri"/>
          <w:b/>
          <w:bCs/>
          <w:lang w:val="cs-CZ"/>
        </w:rPr>
        <w:t xml:space="preserve">oddělení </w:t>
      </w:r>
      <w:r w:rsidR="00677D86" w:rsidRPr="00677D86">
        <w:rPr>
          <w:rFonts w:ascii="Calibri" w:eastAsia="Calibri" w:hAnsi="Calibri" w:cs="Calibri"/>
          <w:b/>
          <w:bCs/>
          <w:lang w:val="cs-CZ"/>
        </w:rPr>
        <w:t xml:space="preserve">správy obchodních center v CBRE, </w:t>
      </w:r>
      <w:r w:rsidR="00A612A6">
        <w:rPr>
          <w:rFonts w:ascii="Calibri" w:eastAsia="Calibri" w:hAnsi="Calibri" w:cs="Calibri"/>
          <w:bCs/>
          <w:lang w:val="cs-CZ"/>
        </w:rPr>
        <w:t>a dodává: „</w:t>
      </w:r>
      <w:r w:rsidR="00301817" w:rsidRPr="00A96AFB">
        <w:rPr>
          <w:rFonts w:ascii="Calibri" w:eastAsia="Calibri" w:hAnsi="Calibri" w:cs="Calibri"/>
          <w:bCs/>
          <w:i/>
          <w:lang w:val="cs-CZ"/>
        </w:rPr>
        <w:t xml:space="preserve">Kdykoliv </w:t>
      </w:r>
      <w:r w:rsidR="00CE2D3C" w:rsidRPr="00A96AFB">
        <w:rPr>
          <w:rFonts w:ascii="Calibri" w:eastAsia="Calibri" w:hAnsi="Calibri" w:cs="Calibri"/>
          <w:bCs/>
          <w:i/>
          <w:lang w:val="cs-CZ"/>
        </w:rPr>
        <w:t>došlo k tzv. lockdownu</w:t>
      </w:r>
      <w:r w:rsidR="00301817" w:rsidRPr="00A96AFB">
        <w:rPr>
          <w:rFonts w:ascii="Calibri" w:eastAsia="Calibri" w:hAnsi="Calibri" w:cs="Calibri"/>
          <w:bCs/>
          <w:i/>
          <w:lang w:val="cs-CZ"/>
        </w:rPr>
        <w:t xml:space="preserve">, spotřeba </w:t>
      </w:r>
      <w:r w:rsidRPr="00A96AFB">
        <w:rPr>
          <w:rFonts w:ascii="Calibri" w:eastAsia="Calibri" w:hAnsi="Calibri" w:cs="Calibri"/>
          <w:bCs/>
          <w:i/>
          <w:lang w:val="cs-CZ"/>
        </w:rPr>
        <w:t xml:space="preserve">obyvatelstva </w:t>
      </w:r>
      <w:r w:rsidR="00732C64">
        <w:rPr>
          <w:rFonts w:ascii="Calibri" w:eastAsia="Calibri" w:hAnsi="Calibri" w:cs="Calibri"/>
          <w:bCs/>
          <w:i/>
          <w:lang w:val="cs-CZ"/>
        </w:rPr>
        <w:t xml:space="preserve">se přesunula do online </w:t>
      </w:r>
      <w:r w:rsidR="000908FB">
        <w:rPr>
          <w:rFonts w:ascii="Calibri" w:eastAsia="Calibri" w:hAnsi="Calibri" w:cs="Calibri"/>
          <w:bCs/>
          <w:i/>
          <w:lang w:val="cs-CZ"/>
        </w:rPr>
        <w:t>prostředí</w:t>
      </w:r>
      <w:r w:rsidR="00301817" w:rsidRPr="00A96AFB">
        <w:rPr>
          <w:rFonts w:ascii="Calibri" w:eastAsia="Calibri" w:hAnsi="Calibri" w:cs="Calibri"/>
          <w:bCs/>
          <w:i/>
          <w:lang w:val="cs-CZ"/>
        </w:rPr>
        <w:t xml:space="preserve">. </w:t>
      </w:r>
      <w:r w:rsidR="00A36390" w:rsidRPr="00A96AFB">
        <w:rPr>
          <w:rFonts w:ascii="Calibri" w:eastAsia="Calibri" w:hAnsi="Calibri" w:cs="Calibri"/>
          <w:i/>
          <w:lang w:val="cs-CZ"/>
        </w:rPr>
        <w:t>To byl</w:t>
      </w:r>
      <w:r w:rsidR="00CE2D3C" w:rsidRPr="00A96AFB">
        <w:rPr>
          <w:rFonts w:ascii="Calibri" w:eastAsia="Calibri" w:hAnsi="Calibri" w:cs="Calibri"/>
          <w:i/>
          <w:lang w:val="cs-CZ"/>
        </w:rPr>
        <w:t xml:space="preserve"> také důvod, proč </w:t>
      </w:r>
      <w:r w:rsidRPr="00A96AFB">
        <w:rPr>
          <w:rFonts w:ascii="Calibri" w:eastAsia="Calibri" w:hAnsi="Calibri" w:cs="Calibri"/>
          <w:i/>
          <w:lang w:val="cs-CZ"/>
        </w:rPr>
        <w:t xml:space="preserve">si </w:t>
      </w:r>
      <w:r w:rsidR="00CE2D3C" w:rsidRPr="00A96AFB">
        <w:rPr>
          <w:rFonts w:ascii="Calibri" w:eastAsia="Calibri" w:hAnsi="Calibri" w:cs="Calibri"/>
          <w:i/>
          <w:lang w:val="cs-CZ"/>
        </w:rPr>
        <w:t xml:space="preserve">podle dat ČSÚ </w:t>
      </w:r>
      <w:r w:rsidR="00A612A6" w:rsidRPr="00A96AFB">
        <w:rPr>
          <w:rFonts w:ascii="Calibri" w:eastAsia="Calibri" w:hAnsi="Calibri" w:cs="Calibri"/>
          <w:i/>
          <w:lang w:val="cs-CZ"/>
        </w:rPr>
        <w:t xml:space="preserve">vloni </w:t>
      </w:r>
      <w:r w:rsidR="00CE2D3C" w:rsidRPr="00A96AFB">
        <w:rPr>
          <w:rFonts w:ascii="Calibri" w:eastAsia="Calibri" w:hAnsi="Calibri" w:cs="Calibri"/>
          <w:i/>
          <w:lang w:val="cs-CZ"/>
        </w:rPr>
        <w:t xml:space="preserve">celkový maloobchod </w:t>
      </w:r>
      <w:r w:rsidR="00A36390" w:rsidRPr="00A96AFB">
        <w:rPr>
          <w:rFonts w:ascii="Calibri" w:eastAsia="Calibri" w:hAnsi="Calibri" w:cs="Calibri"/>
          <w:i/>
          <w:lang w:val="cs-CZ"/>
        </w:rPr>
        <w:t>meziročně</w:t>
      </w:r>
      <w:r w:rsidRPr="00A96AFB">
        <w:rPr>
          <w:rFonts w:ascii="Calibri" w:eastAsia="Calibri" w:hAnsi="Calibri" w:cs="Calibri"/>
          <w:i/>
          <w:lang w:val="cs-CZ"/>
        </w:rPr>
        <w:t xml:space="preserve"> polepšil </w:t>
      </w:r>
      <w:r w:rsidR="00A36390" w:rsidRPr="00A96AFB">
        <w:rPr>
          <w:rFonts w:ascii="Calibri" w:eastAsia="Calibri" w:hAnsi="Calibri" w:cs="Calibri"/>
          <w:i/>
          <w:lang w:val="cs-CZ"/>
        </w:rPr>
        <w:t xml:space="preserve">o 0,4 %. </w:t>
      </w:r>
      <w:r w:rsidR="00CE2D3C" w:rsidRPr="00A96AFB">
        <w:rPr>
          <w:rFonts w:ascii="Calibri" w:eastAsia="Calibri" w:hAnsi="Calibri" w:cs="Calibri"/>
          <w:bCs/>
          <w:i/>
          <w:lang w:val="cs-CZ"/>
        </w:rPr>
        <w:t>K</w:t>
      </w:r>
      <w:r w:rsidR="00301817" w:rsidRPr="00A96AFB">
        <w:rPr>
          <w:rFonts w:ascii="Calibri" w:eastAsia="Calibri" w:hAnsi="Calibri" w:cs="Calibri"/>
          <w:bCs/>
          <w:i/>
          <w:lang w:val="cs-CZ"/>
        </w:rPr>
        <w:t xml:space="preserve">upní síla zůstala </w:t>
      </w:r>
      <w:r w:rsidR="00CE2D3C" w:rsidRPr="00A96AFB">
        <w:rPr>
          <w:rFonts w:ascii="Calibri" w:eastAsia="Calibri" w:hAnsi="Calibri" w:cs="Calibri"/>
          <w:bCs/>
          <w:i/>
          <w:lang w:val="cs-CZ"/>
        </w:rPr>
        <w:t xml:space="preserve">zachována, ale </w:t>
      </w:r>
      <w:r w:rsidR="00301817" w:rsidRPr="00A96AFB">
        <w:rPr>
          <w:rFonts w:ascii="Calibri" w:eastAsia="Calibri" w:hAnsi="Calibri" w:cs="Calibri"/>
          <w:bCs/>
          <w:i/>
          <w:lang w:val="cs-CZ"/>
        </w:rPr>
        <w:t xml:space="preserve">změnil </w:t>
      </w:r>
      <w:r w:rsidR="00250516" w:rsidRPr="00A96AFB">
        <w:rPr>
          <w:rFonts w:ascii="Calibri" w:eastAsia="Calibri" w:hAnsi="Calibri" w:cs="Calibri"/>
          <w:bCs/>
          <w:i/>
          <w:lang w:val="cs-CZ"/>
        </w:rPr>
        <w:t xml:space="preserve">se </w:t>
      </w:r>
      <w:r w:rsidR="00301817" w:rsidRPr="00A96AFB">
        <w:rPr>
          <w:rFonts w:ascii="Calibri" w:eastAsia="Calibri" w:hAnsi="Calibri" w:cs="Calibri"/>
          <w:bCs/>
          <w:i/>
          <w:lang w:val="cs-CZ"/>
        </w:rPr>
        <w:t xml:space="preserve">způsob </w:t>
      </w:r>
      <w:r w:rsidR="006034D7">
        <w:rPr>
          <w:rFonts w:ascii="Calibri" w:eastAsia="Calibri" w:hAnsi="Calibri" w:cs="Calibri"/>
          <w:bCs/>
          <w:i/>
          <w:lang w:val="cs-CZ"/>
        </w:rPr>
        <w:t>n</w:t>
      </w:r>
      <w:r w:rsidR="00997AF9">
        <w:rPr>
          <w:rFonts w:ascii="Calibri" w:eastAsia="Calibri" w:hAnsi="Calibri" w:cs="Calibri"/>
          <w:bCs/>
          <w:i/>
          <w:lang w:val="cs-CZ"/>
        </w:rPr>
        <w:t>a</w:t>
      </w:r>
      <w:r w:rsidR="006034D7">
        <w:rPr>
          <w:rFonts w:ascii="Calibri" w:eastAsia="Calibri" w:hAnsi="Calibri" w:cs="Calibri"/>
          <w:bCs/>
          <w:i/>
          <w:lang w:val="cs-CZ"/>
        </w:rPr>
        <w:t>kup</w:t>
      </w:r>
      <w:r w:rsidR="000908FB">
        <w:rPr>
          <w:rFonts w:ascii="Calibri" w:eastAsia="Calibri" w:hAnsi="Calibri" w:cs="Calibri"/>
          <w:bCs/>
          <w:i/>
          <w:lang w:val="cs-CZ"/>
        </w:rPr>
        <w:t>ování</w:t>
      </w:r>
      <w:r w:rsidR="00301817" w:rsidRPr="00A96AFB">
        <w:rPr>
          <w:rFonts w:ascii="Calibri" w:eastAsia="Calibri" w:hAnsi="Calibri" w:cs="Calibri"/>
          <w:bCs/>
          <w:i/>
          <w:lang w:val="cs-CZ"/>
        </w:rPr>
        <w:t>.</w:t>
      </w:r>
      <w:r w:rsidR="00A36390" w:rsidRPr="00A96AFB">
        <w:rPr>
          <w:rFonts w:ascii="Calibri" w:eastAsia="Calibri" w:hAnsi="Calibri" w:cs="Calibri"/>
          <w:bCs/>
          <w:i/>
          <w:lang w:val="cs-CZ"/>
        </w:rPr>
        <w:t xml:space="preserve"> </w:t>
      </w:r>
      <w:r w:rsidR="00CE2D3C" w:rsidRPr="00A96AFB">
        <w:rPr>
          <w:rFonts w:ascii="Calibri" w:eastAsia="Calibri" w:hAnsi="Calibri" w:cs="Calibri"/>
          <w:bCs/>
          <w:i/>
          <w:lang w:val="cs-CZ"/>
        </w:rPr>
        <w:t>Podle portálu Heureka on</w:t>
      </w:r>
      <w:r w:rsidR="00A36390" w:rsidRPr="00A96AFB">
        <w:rPr>
          <w:rFonts w:ascii="Calibri" w:eastAsia="Calibri" w:hAnsi="Calibri" w:cs="Calibri"/>
          <w:bCs/>
          <w:i/>
          <w:lang w:val="cs-CZ"/>
        </w:rPr>
        <w:t xml:space="preserve">line nakupování </w:t>
      </w:r>
      <w:r w:rsidR="00B52D8E">
        <w:rPr>
          <w:rFonts w:ascii="Calibri" w:eastAsia="Calibri" w:hAnsi="Calibri" w:cs="Calibri"/>
          <w:bCs/>
          <w:i/>
          <w:lang w:val="cs-CZ"/>
        </w:rPr>
        <w:t>meziročně</w:t>
      </w:r>
      <w:r w:rsidR="00B52D8E" w:rsidRPr="00A96AFB">
        <w:rPr>
          <w:rFonts w:ascii="Calibri" w:eastAsia="Calibri" w:hAnsi="Calibri" w:cs="Calibri"/>
          <w:bCs/>
          <w:i/>
          <w:lang w:val="cs-CZ"/>
        </w:rPr>
        <w:t xml:space="preserve"> </w:t>
      </w:r>
      <w:r w:rsidR="00CE2D3C" w:rsidRPr="00A96AFB">
        <w:rPr>
          <w:rFonts w:ascii="Calibri" w:eastAsia="Calibri" w:hAnsi="Calibri" w:cs="Calibri"/>
          <w:bCs/>
          <w:i/>
          <w:lang w:val="cs-CZ"/>
        </w:rPr>
        <w:t>vzrostlo</w:t>
      </w:r>
      <w:r w:rsidR="000908FB">
        <w:rPr>
          <w:rFonts w:ascii="Calibri" w:eastAsia="Calibri" w:hAnsi="Calibri" w:cs="Calibri"/>
          <w:bCs/>
          <w:i/>
          <w:lang w:val="cs-CZ"/>
        </w:rPr>
        <w:t xml:space="preserve"> </w:t>
      </w:r>
      <w:r w:rsidR="00A36390" w:rsidRPr="00A96AFB">
        <w:rPr>
          <w:rFonts w:ascii="Calibri" w:eastAsia="Calibri" w:hAnsi="Calibri" w:cs="Calibri"/>
          <w:bCs/>
          <w:i/>
          <w:lang w:val="cs-CZ"/>
        </w:rPr>
        <w:t>o 26 %.</w:t>
      </w:r>
      <w:r w:rsidR="006032A0" w:rsidRPr="00A96AFB">
        <w:rPr>
          <w:rFonts w:ascii="Calibri" w:eastAsia="Calibri" w:hAnsi="Calibri" w:cs="Calibri"/>
          <w:bCs/>
          <w:i/>
          <w:lang w:val="cs-CZ"/>
        </w:rPr>
        <w:t xml:space="preserve"> </w:t>
      </w:r>
      <w:r w:rsidR="00CE2D3C" w:rsidRPr="00A96AFB">
        <w:rPr>
          <w:rFonts w:ascii="Calibri" w:eastAsia="Calibri" w:hAnsi="Calibri" w:cs="Calibri"/>
          <w:bCs/>
          <w:i/>
          <w:lang w:val="cs-CZ"/>
        </w:rPr>
        <w:t>N</w:t>
      </w:r>
      <w:r w:rsidR="006032A0" w:rsidRPr="00A96AFB">
        <w:rPr>
          <w:rFonts w:ascii="Calibri" w:eastAsia="Calibri" w:hAnsi="Calibri" w:cs="Calibri"/>
          <w:bCs/>
          <w:i/>
          <w:lang w:val="cs-CZ"/>
        </w:rPr>
        <w:t xml:space="preserve">ejvyšší </w:t>
      </w:r>
      <w:r w:rsidR="00CE2D3C" w:rsidRPr="00A96AFB">
        <w:rPr>
          <w:rFonts w:ascii="Calibri" w:eastAsia="Calibri" w:hAnsi="Calibri" w:cs="Calibri"/>
          <w:bCs/>
          <w:i/>
          <w:lang w:val="cs-CZ"/>
        </w:rPr>
        <w:t>zájem byl o</w:t>
      </w:r>
      <w:r w:rsidR="006032A0" w:rsidRPr="00A96AFB">
        <w:rPr>
          <w:rFonts w:ascii="Calibri" w:eastAsia="Calibri" w:hAnsi="Calibri" w:cs="Calibri"/>
          <w:bCs/>
          <w:i/>
          <w:lang w:val="cs-CZ"/>
        </w:rPr>
        <w:t xml:space="preserve"> </w:t>
      </w:r>
      <w:r w:rsidR="00B52D8E">
        <w:rPr>
          <w:rFonts w:ascii="Calibri" w:eastAsia="Calibri" w:hAnsi="Calibri" w:cs="Calibri"/>
          <w:bCs/>
          <w:i/>
          <w:lang w:val="cs-CZ"/>
        </w:rPr>
        <w:t xml:space="preserve">kategorie: </w:t>
      </w:r>
      <w:r w:rsidR="00F82449">
        <w:rPr>
          <w:rFonts w:ascii="Calibri" w:eastAsia="Calibri" w:hAnsi="Calibri" w:cs="Calibri"/>
          <w:bCs/>
          <w:i/>
          <w:lang w:val="cs-CZ"/>
        </w:rPr>
        <w:t>F</w:t>
      </w:r>
      <w:r w:rsidR="006032A0" w:rsidRPr="00A96AFB">
        <w:rPr>
          <w:rFonts w:ascii="Calibri" w:eastAsia="Calibri" w:hAnsi="Calibri" w:cs="Calibri"/>
          <w:bCs/>
          <w:i/>
          <w:lang w:val="cs-CZ"/>
        </w:rPr>
        <w:t xml:space="preserve">ilmy, </w:t>
      </w:r>
      <w:r w:rsidR="00B52D8E">
        <w:rPr>
          <w:rFonts w:ascii="Calibri" w:eastAsia="Calibri" w:hAnsi="Calibri" w:cs="Calibri"/>
          <w:bCs/>
          <w:i/>
          <w:lang w:val="cs-CZ"/>
        </w:rPr>
        <w:t>k</w:t>
      </w:r>
      <w:r w:rsidR="006032A0" w:rsidRPr="00A96AFB">
        <w:rPr>
          <w:rFonts w:ascii="Calibri" w:eastAsia="Calibri" w:hAnsi="Calibri" w:cs="Calibri"/>
          <w:bCs/>
          <w:i/>
          <w:lang w:val="cs-CZ"/>
        </w:rPr>
        <w:t>nihy a hry (</w:t>
      </w:r>
      <w:r w:rsidR="00CE2D3C" w:rsidRPr="00A96AFB">
        <w:rPr>
          <w:rFonts w:ascii="Calibri" w:eastAsia="Calibri" w:hAnsi="Calibri" w:cs="Calibri"/>
          <w:bCs/>
          <w:i/>
          <w:lang w:val="cs-CZ"/>
        </w:rPr>
        <w:t xml:space="preserve">+47 %), </w:t>
      </w:r>
      <w:r w:rsidR="00F82449">
        <w:rPr>
          <w:rFonts w:ascii="Calibri" w:eastAsia="Calibri" w:hAnsi="Calibri" w:cs="Calibri"/>
          <w:bCs/>
          <w:i/>
          <w:lang w:val="cs-CZ"/>
        </w:rPr>
        <w:t>Jídlo a nápoje</w:t>
      </w:r>
      <w:r w:rsidR="00F82449" w:rsidRPr="00A96AFB">
        <w:rPr>
          <w:rFonts w:ascii="Calibri" w:eastAsia="Calibri" w:hAnsi="Calibri" w:cs="Calibri"/>
          <w:bCs/>
          <w:i/>
          <w:lang w:val="cs-CZ"/>
        </w:rPr>
        <w:t xml:space="preserve"> </w:t>
      </w:r>
      <w:r w:rsidR="00CE2D3C" w:rsidRPr="00A96AFB">
        <w:rPr>
          <w:rFonts w:ascii="Calibri" w:eastAsia="Calibri" w:hAnsi="Calibri" w:cs="Calibri"/>
          <w:bCs/>
          <w:i/>
          <w:lang w:val="cs-CZ"/>
        </w:rPr>
        <w:t xml:space="preserve">(+45 %) a </w:t>
      </w:r>
      <w:r w:rsidR="00F82449">
        <w:rPr>
          <w:rFonts w:ascii="Calibri" w:eastAsia="Calibri" w:hAnsi="Calibri" w:cs="Calibri"/>
          <w:bCs/>
          <w:i/>
          <w:lang w:val="cs-CZ"/>
        </w:rPr>
        <w:t>S</w:t>
      </w:r>
      <w:r w:rsidR="00CE2D3C" w:rsidRPr="00A96AFB">
        <w:rPr>
          <w:rFonts w:ascii="Calibri" w:eastAsia="Calibri" w:hAnsi="Calibri" w:cs="Calibri"/>
          <w:bCs/>
          <w:i/>
          <w:lang w:val="cs-CZ"/>
        </w:rPr>
        <w:t>port (+</w:t>
      </w:r>
      <w:r w:rsidR="00A612A6">
        <w:rPr>
          <w:rFonts w:ascii="Calibri" w:eastAsia="Calibri" w:hAnsi="Calibri" w:cs="Calibri"/>
          <w:bCs/>
          <w:i/>
          <w:lang w:val="cs-CZ"/>
        </w:rPr>
        <w:t>43</w:t>
      </w:r>
      <w:r w:rsidR="00B52D8E">
        <w:rPr>
          <w:rFonts w:ascii="Calibri" w:eastAsia="Calibri" w:hAnsi="Calibri" w:cs="Calibri"/>
          <w:bCs/>
          <w:i/>
          <w:lang w:val="cs-CZ"/>
        </w:rPr>
        <w:t xml:space="preserve"> </w:t>
      </w:r>
      <w:r w:rsidR="00A612A6">
        <w:rPr>
          <w:rFonts w:ascii="Calibri" w:eastAsia="Calibri" w:hAnsi="Calibri" w:cs="Calibri"/>
          <w:bCs/>
          <w:i/>
          <w:lang w:val="cs-CZ"/>
        </w:rPr>
        <w:t>%).</w:t>
      </w:r>
      <w:r w:rsidRPr="00A96AFB">
        <w:rPr>
          <w:rFonts w:ascii="Calibri" w:eastAsia="Calibri" w:hAnsi="Calibri" w:cs="Calibri"/>
          <w:bCs/>
          <w:i/>
          <w:lang w:val="cs-CZ"/>
        </w:rPr>
        <w:t>“</w:t>
      </w:r>
      <w:r>
        <w:rPr>
          <w:rFonts w:ascii="Calibri" w:eastAsia="Calibri" w:hAnsi="Calibri" w:cs="Calibri"/>
          <w:bCs/>
          <w:lang w:val="cs-CZ"/>
        </w:rPr>
        <w:t xml:space="preserve"> </w:t>
      </w:r>
    </w:p>
    <w:p w14:paraId="42CC19F3" w14:textId="77777777" w:rsidR="00164DB4" w:rsidRDefault="00164DB4" w:rsidP="006032A0">
      <w:pPr>
        <w:jc w:val="both"/>
        <w:rPr>
          <w:rFonts w:ascii="Calibri" w:eastAsia="Calibri" w:hAnsi="Calibri" w:cs="Calibri"/>
          <w:bCs/>
          <w:lang w:val="cs-CZ"/>
        </w:rPr>
      </w:pPr>
    </w:p>
    <w:p w14:paraId="0592BEC0" w14:textId="7B9D0A1C" w:rsidR="00201C3E" w:rsidRPr="00201C3E" w:rsidRDefault="00A96AFB" w:rsidP="000C5660">
      <w:pPr>
        <w:jc w:val="both"/>
        <w:rPr>
          <w:rFonts w:ascii="Calibri" w:eastAsia="Calibri" w:hAnsi="Calibri" w:cs="Calibri"/>
          <w:b/>
          <w:bCs/>
          <w:lang w:val="cs-CZ"/>
        </w:rPr>
      </w:pPr>
      <w:r>
        <w:rPr>
          <w:rFonts w:ascii="Calibri" w:eastAsia="Calibri" w:hAnsi="Calibri" w:cs="Calibri"/>
          <w:b/>
          <w:bCs/>
          <w:lang w:val="cs-CZ"/>
        </w:rPr>
        <w:t>Výrazný vliv na výkonnost OC v době pandemie měla skladba nájemců</w:t>
      </w:r>
    </w:p>
    <w:p w14:paraId="6CBBCC14" w14:textId="49884796" w:rsidR="00905259" w:rsidRDefault="00FD040D" w:rsidP="00905259">
      <w:pPr>
        <w:jc w:val="both"/>
        <w:rPr>
          <w:rFonts w:ascii="Calibri" w:hAnsi="Calibri"/>
          <w:lang w:val="cs-CZ"/>
        </w:rPr>
      </w:pPr>
      <w:r w:rsidRPr="00F93CA4">
        <w:rPr>
          <w:rFonts w:ascii="Calibri" w:eastAsia="Calibri" w:hAnsi="Calibri" w:cs="Calibri"/>
          <w:bCs/>
          <w:lang w:val="cs-CZ"/>
        </w:rPr>
        <w:t>Obchodní centra</w:t>
      </w:r>
      <w:r w:rsidR="00732C64">
        <w:rPr>
          <w:rFonts w:ascii="Calibri" w:eastAsia="Calibri" w:hAnsi="Calibri" w:cs="Calibri"/>
          <w:bCs/>
          <w:lang w:val="cs-CZ"/>
        </w:rPr>
        <w:t xml:space="preserve"> </w:t>
      </w:r>
      <w:r w:rsidRPr="00F93CA4">
        <w:rPr>
          <w:rFonts w:ascii="Calibri" w:eastAsia="Calibri" w:hAnsi="Calibri" w:cs="Calibri"/>
          <w:bCs/>
          <w:lang w:val="cs-CZ"/>
        </w:rPr>
        <w:t xml:space="preserve">v </w:t>
      </w:r>
      <w:r>
        <w:rPr>
          <w:rFonts w:ascii="Calibri" w:eastAsia="Calibri" w:hAnsi="Calibri" w:cs="Calibri"/>
          <w:bCs/>
          <w:lang w:val="cs-CZ"/>
        </w:rPr>
        <w:t>minulých</w:t>
      </w:r>
      <w:r w:rsidRPr="00F93CA4">
        <w:rPr>
          <w:rFonts w:ascii="Calibri" w:eastAsia="Calibri" w:hAnsi="Calibri" w:cs="Calibri"/>
          <w:bCs/>
          <w:lang w:val="cs-CZ"/>
        </w:rPr>
        <w:t xml:space="preserve"> letech </w:t>
      </w:r>
      <w:r w:rsidR="00E5006E" w:rsidRPr="00F93CA4">
        <w:rPr>
          <w:rFonts w:ascii="Calibri" w:eastAsia="Calibri" w:hAnsi="Calibri" w:cs="Calibri"/>
          <w:bCs/>
          <w:lang w:val="cs-CZ"/>
        </w:rPr>
        <w:t xml:space="preserve">prošla </w:t>
      </w:r>
      <w:r w:rsidRPr="00F93CA4">
        <w:rPr>
          <w:rFonts w:ascii="Calibri" w:eastAsia="Calibri" w:hAnsi="Calibri" w:cs="Calibri"/>
          <w:bCs/>
          <w:lang w:val="cs-CZ"/>
        </w:rPr>
        <w:t xml:space="preserve">řadou strukturálních změn. Zatímco plocha hypermarketů a supermarketů se </w:t>
      </w:r>
      <w:r>
        <w:rPr>
          <w:rFonts w:ascii="Calibri" w:eastAsia="Calibri" w:hAnsi="Calibri" w:cs="Calibri"/>
          <w:bCs/>
          <w:lang w:val="cs-CZ"/>
        </w:rPr>
        <w:t xml:space="preserve">snižovala, rozšiřoval se prostor pro nákupní galerie, </w:t>
      </w:r>
      <w:r w:rsidRPr="00F93CA4">
        <w:rPr>
          <w:rFonts w:ascii="Calibri" w:eastAsia="Calibri" w:hAnsi="Calibri" w:cs="Calibri"/>
          <w:bCs/>
          <w:lang w:val="cs-CZ"/>
        </w:rPr>
        <w:t>foodcourt</w:t>
      </w:r>
      <w:r>
        <w:rPr>
          <w:rFonts w:ascii="Calibri" w:eastAsia="Calibri" w:hAnsi="Calibri" w:cs="Calibri"/>
          <w:bCs/>
          <w:lang w:val="cs-CZ"/>
        </w:rPr>
        <w:t>y</w:t>
      </w:r>
      <w:r w:rsidRPr="00F93CA4">
        <w:rPr>
          <w:rFonts w:ascii="Calibri" w:eastAsia="Calibri" w:hAnsi="Calibri" w:cs="Calibri"/>
          <w:bCs/>
          <w:lang w:val="cs-CZ"/>
        </w:rPr>
        <w:t xml:space="preserve"> a volnočasové aktivity.</w:t>
      </w:r>
      <w:r>
        <w:rPr>
          <w:rFonts w:ascii="Calibri" w:eastAsia="Calibri" w:hAnsi="Calibri" w:cs="Calibri"/>
          <w:bCs/>
          <w:lang w:val="cs-CZ"/>
        </w:rPr>
        <w:t xml:space="preserve"> </w:t>
      </w:r>
      <w:r w:rsidR="00576716">
        <w:rPr>
          <w:rFonts w:ascii="Calibri" w:eastAsia="Calibri" w:hAnsi="Calibri" w:cs="Calibri"/>
          <w:bCs/>
          <w:lang w:val="cs-CZ"/>
        </w:rPr>
        <w:t xml:space="preserve">Očekáváme, že tento trend bude i nadále pokračovat, nicméně v pandemickém roce 2020 ke změnám v rozložení plochy nedocházelo. </w:t>
      </w:r>
      <w:r>
        <w:rPr>
          <w:rFonts w:ascii="Calibri" w:eastAsia="Calibri" w:hAnsi="Calibri" w:cs="Calibri"/>
          <w:bCs/>
          <w:lang w:val="cs-CZ"/>
        </w:rPr>
        <w:t xml:space="preserve">V typickém regionálním centru </w:t>
      </w:r>
      <w:r w:rsidR="00164DB4">
        <w:rPr>
          <w:rFonts w:ascii="Calibri" w:eastAsia="Calibri" w:hAnsi="Calibri" w:cs="Calibri"/>
          <w:bCs/>
          <w:lang w:val="cs-CZ"/>
        </w:rPr>
        <w:t xml:space="preserve">(kromě Prahy) </w:t>
      </w:r>
      <w:r>
        <w:rPr>
          <w:rFonts w:ascii="Calibri" w:eastAsia="Calibri" w:hAnsi="Calibri" w:cs="Calibri"/>
          <w:bCs/>
          <w:lang w:val="cs-CZ"/>
        </w:rPr>
        <w:t>zaujímá největší podíl na ploše nákupní galerie móda (</w:t>
      </w:r>
      <w:r w:rsidR="00960741">
        <w:rPr>
          <w:rFonts w:ascii="Calibri" w:eastAsia="Calibri" w:hAnsi="Calibri" w:cs="Calibri"/>
          <w:bCs/>
          <w:lang w:val="cs-CZ"/>
        </w:rPr>
        <w:t>37 %), z</w:t>
      </w:r>
      <w:r>
        <w:rPr>
          <w:rFonts w:ascii="Calibri" w:eastAsia="Calibri" w:hAnsi="Calibri" w:cs="Calibri"/>
          <w:bCs/>
          <w:lang w:val="cs-CZ"/>
        </w:rPr>
        <w:t>a kterou s</w:t>
      </w:r>
      <w:r w:rsidR="004A5AB0">
        <w:rPr>
          <w:rFonts w:ascii="Calibri" w:eastAsia="Calibri" w:hAnsi="Calibri" w:cs="Calibri"/>
          <w:bCs/>
          <w:lang w:val="cs-CZ"/>
        </w:rPr>
        <w:t> </w:t>
      </w:r>
      <w:r>
        <w:rPr>
          <w:rFonts w:ascii="Calibri" w:eastAsia="Calibri" w:hAnsi="Calibri" w:cs="Calibri"/>
          <w:bCs/>
          <w:lang w:val="cs-CZ"/>
        </w:rPr>
        <w:t>15</w:t>
      </w:r>
      <w:r w:rsidR="004A5AB0">
        <w:rPr>
          <w:rFonts w:ascii="Calibri" w:eastAsia="Calibri" w:hAnsi="Calibri" w:cs="Calibri"/>
          <w:bCs/>
          <w:lang w:val="cs-CZ"/>
        </w:rPr>
        <w:t> </w:t>
      </w:r>
      <w:r>
        <w:rPr>
          <w:rFonts w:ascii="Calibri" w:eastAsia="Calibri" w:hAnsi="Calibri" w:cs="Calibri"/>
          <w:bCs/>
          <w:lang w:val="cs-CZ"/>
        </w:rPr>
        <w:t xml:space="preserve">% následuje specializovaný maloobchod. Do této kategorie </w:t>
      </w:r>
      <w:r w:rsidR="00164DB4">
        <w:rPr>
          <w:rFonts w:ascii="Calibri" w:eastAsia="Calibri" w:hAnsi="Calibri" w:cs="Calibri"/>
          <w:bCs/>
          <w:lang w:val="cs-CZ"/>
        </w:rPr>
        <w:t>se řadí</w:t>
      </w:r>
      <w:r>
        <w:rPr>
          <w:rFonts w:ascii="Calibri" w:eastAsia="Calibri" w:hAnsi="Calibri" w:cs="Calibri"/>
          <w:bCs/>
          <w:lang w:val="cs-CZ"/>
        </w:rPr>
        <w:t xml:space="preserve"> třeba lékárny, knihkupectví, parfumerie, optiky či hračkářství. Na p</w:t>
      </w:r>
      <w:r w:rsidR="001065D6">
        <w:rPr>
          <w:rFonts w:ascii="Calibri" w:eastAsia="Calibri" w:hAnsi="Calibri" w:cs="Calibri"/>
          <w:bCs/>
          <w:lang w:val="cs-CZ"/>
        </w:rPr>
        <w:t>omyslné třetí příčce se nacház</w:t>
      </w:r>
      <w:r>
        <w:rPr>
          <w:rFonts w:ascii="Calibri" w:eastAsia="Calibri" w:hAnsi="Calibri" w:cs="Calibri"/>
          <w:bCs/>
          <w:lang w:val="cs-CZ"/>
        </w:rPr>
        <w:t xml:space="preserve">í prodejny </w:t>
      </w:r>
      <w:r w:rsidR="001065D6">
        <w:rPr>
          <w:rFonts w:ascii="Calibri" w:eastAsia="Calibri" w:hAnsi="Calibri" w:cs="Calibri"/>
          <w:bCs/>
          <w:lang w:val="cs-CZ"/>
        </w:rPr>
        <w:t xml:space="preserve">se sportovním vybavením, které zabírají </w:t>
      </w:r>
      <w:r>
        <w:rPr>
          <w:rFonts w:ascii="Calibri" w:eastAsia="Calibri" w:hAnsi="Calibri" w:cs="Calibri"/>
          <w:bCs/>
          <w:lang w:val="cs-CZ"/>
        </w:rPr>
        <w:t xml:space="preserve">cca 12 % </w:t>
      </w:r>
      <w:r w:rsidR="00B80E20">
        <w:rPr>
          <w:rFonts w:ascii="Calibri" w:eastAsia="Calibri" w:hAnsi="Calibri" w:cs="Calibri"/>
          <w:bCs/>
          <w:lang w:val="cs-CZ"/>
        </w:rPr>
        <w:t>plochy</w:t>
      </w:r>
      <w:r>
        <w:rPr>
          <w:rFonts w:ascii="Calibri" w:eastAsia="Calibri" w:hAnsi="Calibri" w:cs="Calibri"/>
          <w:bCs/>
          <w:lang w:val="cs-CZ"/>
        </w:rPr>
        <w:t xml:space="preserve">. Vloni druhý rok po sobě expandoval sektor elektroniky, který se postupně rozrostl o 4 % na současných </w:t>
      </w:r>
      <w:r w:rsidRPr="00576716">
        <w:rPr>
          <w:rFonts w:ascii="Calibri" w:eastAsia="Calibri" w:hAnsi="Calibri" w:cs="Calibri"/>
          <w:bCs/>
          <w:lang w:val="cs-CZ"/>
        </w:rPr>
        <w:t>7 %.</w:t>
      </w:r>
      <w:r>
        <w:rPr>
          <w:rFonts w:ascii="Calibri" w:eastAsia="Calibri" w:hAnsi="Calibri" w:cs="Calibri"/>
          <w:bCs/>
          <w:lang w:val="cs-CZ"/>
        </w:rPr>
        <w:t xml:space="preserve"> Naopak o 7</w:t>
      </w:r>
      <w:r w:rsidR="004A5AB0">
        <w:rPr>
          <w:rFonts w:ascii="Calibri" w:eastAsia="Calibri" w:hAnsi="Calibri" w:cs="Calibri"/>
          <w:bCs/>
          <w:lang w:val="cs-CZ"/>
        </w:rPr>
        <w:t> </w:t>
      </w:r>
      <w:r>
        <w:rPr>
          <w:rFonts w:ascii="Calibri" w:eastAsia="Calibri" w:hAnsi="Calibri" w:cs="Calibri"/>
          <w:bCs/>
          <w:lang w:val="cs-CZ"/>
        </w:rPr>
        <w:t xml:space="preserve">% </w:t>
      </w:r>
      <w:r w:rsidR="004A5AB0">
        <w:rPr>
          <w:rFonts w:ascii="Calibri" w:eastAsia="Calibri" w:hAnsi="Calibri" w:cs="Calibri"/>
          <w:bCs/>
          <w:lang w:val="cs-CZ"/>
        </w:rPr>
        <w:t>se snížil podíl</w:t>
      </w:r>
      <w:r>
        <w:rPr>
          <w:rFonts w:ascii="Calibri" w:eastAsia="Calibri" w:hAnsi="Calibri" w:cs="Calibri"/>
          <w:bCs/>
          <w:lang w:val="cs-CZ"/>
        </w:rPr>
        <w:t xml:space="preserve"> </w:t>
      </w:r>
      <w:r>
        <w:rPr>
          <w:rFonts w:ascii="Calibri" w:eastAsia="Calibri" w:hAnsi="Calibri" w:cs="Calibri"/>
          <w:bCs/>
          <w:lang w:val="cs-CZ"/>
        </w:rPr>
        <w:lastRenderedPageBreak/>
        <w:t>domácích potřeb a nábytku, který byl ještě v roce 2019</w:t>
      </w:r>
      <w:r w:rsidR="00923FDF">
        <w:rPr>
          <w:rFonts w:ascii="Calibri" w:eastAsia="Calibri" w:hAnsi="Calibri" w:cs="Calibri"/>
          <w:bCs/>
          <w:lang w:val="cs-CZ"/>
        </w:rPr>
        <w:t xml:space="preserve"> nejvíce expandujícím </w:t>
      </w:r>
      <w:r w:rsidR="00B80E20">
        <w:rPr>
          <w:rFonts w:ascii="Calibri" w:eastAsia="Calibri" w:hAnsi="Calibri" w:cs="Calibri"/>
          <w:bCs/>
          <w:lang w:val="cs-CZ"/>
        </w:rPr>
        <w:t>odvětvím</w:t>
      </w:r>
      <w:r w:rsidR="00923FDF">
        <w:rPr>
          <w:rFonts w:ascii="Calibri" w:eastAsia="Calibri" w:hAnsi="Calibri" w:cs="Calibri"/>
          <w:bCs/>
          <w:lang w:val="cs-CZ"/>
        </w:rPr>
        <w:t>.</w:t>
      </w:r>
      <w:r w:rsidR="00F70A49">
        <w:rPr>
          <w:rFonts w:ascii="Calibri" w:eastAsia="Calibri" w:hAnsi="Calibri" w:cs="Calibri"/>
          <w:bCs/>
          <w:lang w:val="cs-CZ"/>
        </w:rPr>
        <w:t xml:space="preserve"> </w:t>
      </w:r>
      <w:r w:rsidR="000C18BD">
        <w:rPr>
          <w:rFonts w:ascii="Calibri" w:eastAsia="Calibri" w:hAnsi="Calibri" w:cs="Calibri"/>
          <w:bCs/>
          <w:lang w:val="cs-CZ"/>
        </w:rPr>
        <w:t>V</w:t>
      </w:r>
      <w:r w:rsidR="00F70A49">
        <w:rPr>
          <w:rFonts w:ascii="Calibri" w:eastAsia="Calibri" w:hAnsi="Calibri" w:cs="Calibri"/>
          <w:bCs/>
          <w:lang w:val="cs-CZ"/>
        </w:rPr>
        <w:t>elikost průměrné obchodní jednotky</w:t>
      </w:r>
      <w:r w:rsidR="00A13612">
        <w:rPr>
          <w:rFonts w:ascii="Calibri" w:eastAsia="Calibri" w:hAnsi="Calibri" w:cs="Calibri"/>
          <w:bCs/>
          <w:lang w:val="cs-CZ"/>
        </w:rPr>
        <w:t xml:space="preserve"> </w:t>
      </w:r>
      <w:r w:rsidR="00DC4E9D">
        <w:rPr>
          <w:rFonts w:ascii="Calibri" w:eastAsia="Calibri" w:hAnsi="Calibri" w:cs="Calibri"/>
          <w:bCs/>
          <w:lang w:val="cs-CZ"/>
        </w:rPr>
        <w:t xml:space="preserve">se vloni </w:t>
      </w:r>
      <w:r w:rsidR="005B6DFC">
        <w:rPr>
          <w:rFonts w:ascii="Calibri" w:eastAsia="Calibri" w:hAnsi="Calibri" w:cs="Calibri"/>
          <w:bCs/>
          <w:lang w:val="cs-CZ"/>
        </w:rPr>
        <w:t xml:space="preserve">nijak neměnila a zůstala stabilní na </w:t>
      </w:r>
      <w:r w:rsidR="00F70A49">
        <w:rPr>
          <w:rFonts w:ascii="Calibri" w:eastAsia="Calibri" w:hAnsi="Calibri" w:cs="Calibri"/>
          <w:bCs/>
          <w:lang w:val="cs-CZ"/>
        </w:rPr>
        <w:t>220 m</w:t>
      </w:r>
      <w:r w:rsidR="00F70A49" w:rsidRPr="00F70A49">
        <w:rPr>
          <w:rFonts w:ascii="Calibri" w:eastAsia="Calibri" w:hAnsi="Calibri" w:cs="Calibri"/>
          <w:bCs/>
          <w:vertAlign w:val="superscript"/>
          <w:lang w:val="cs-CZ"/>
        </w:rPr>
        <w:t>2</w:t>
      </w:r>
      <w:r w:rsidR="00F70A49">
        <w:rPr>
          <w:rFonts w:ascii="Calibri" w:eastAsia="Calibri" w:hAnsi="Calibri" w:cs="Calibri"/>
          <w:bCs/>
          <w:lang w:val="cs-CZ"/>
        </w:rPr>
        <w:t>.</w:t>
      </w:r>
    </w:p>
    <w:p w14:paraId="0BE76F1C" w14:textId="77777777" w:rsidR="009E5785" w:rsidRDefault="009E5785" w:rsidP="00905259">
      <w:pPr>
        <w:jc w:val="both"/>
        <w:rPr>
          <w:rFonts w:ascii="Calibri" w:hAnsi="Calibri"/>
          <w:lang w:val="cs-CZ"/>
        </w:rPr>
      </w:pPr>
    </w:p>
    <w:p w14:paraId="0C3B2DD0" w14:textId="0AE78271" w:rsidR="00E549A3" w:rsidRDefault="00E549A3" w:rsidP="000C5660">
      <w:pPr>
        <w:jc w:val="both"/>
        <w:rPr>
          <w:rFonts w:ascii="Calibri" w:eastAsia="Calibri" w:hAnsi="Calibri" w:cs="Calibri"/>
          <w:b/>
          <w:bCs/>
          <w:lang w:val="cs-CZ"/>
        </w:rPr>
      </w:pPr>
      <w:r w:rsidRPr="00005B12">
        <w:rPr>
          <w:rFonts w:ascii="Calibri" w:eastAsia="Calibri" w:hAnsi="Calibri" w:cs="Calibri"/>
          <w:b/>
          <w:bCs/>
          <w:lang w:val="cs-CZ"/>
        </w:rPr>
        <w:t xml:space="preserve">Po šesti letech nepřetržitého růstu se průměrný obrat </w:t>
      </w:r>
      <w:r>
        <w:rPr>
          <w:rFonts w:ascii="Calibri" w:eastAsia="Calibri" w:hAnsi="Calibri" w:cs="Calibri"/>
          <w:b/>
          <w:bCs/>
          <w:lang w:val="cs-CZ"/>
        </w:rPr>
        <w:t xml:space="preserve">OC </w:t>
      </w:r>
      <w:r w:rsidRPr="00005B12">
        <w:rPr>
          <w:rFonts w:ascii="Calibri" w:eastAsia="Calibri" w:hAnsi="Calibri" w:cs="Calibri"/>
          <w:b/>
          <w:bCs/>
          <w:lang w:val="cs-CZ"/>
        </w:rPr>
        <w:t>meziročně snížil o 25,5 %</w:t>
      </w:r>
    </w:p>
    <w:p w14:paraId="196C15F2" w14:textId="5833B752" w:rsidR="009E20BE" w:rsidRDefault="00800A13" w:rsidP="009E20BE">
      <w:pPr>
        <w:jc w:val="both"/>
        <w:rPr>
          <w:rFonts w:ascii="Calibri" w:eastAsia="Calibri" w:hAnsi="Calibri" w:cs="Calibri"/>
          <w:bCs/>
          <w:lang w:val="cs-CZ"/>
        </w:rPr>
      </w:pPr>
      <w:r>
        <w:rPr>
          <w:rFonts w:ascii="Calibri" w:eastAsia="Calibri" w:hAnsi="Calibri" w:cs="Calibri"/>
          <w:bCs/>
          <w:lang w:val="cs-CZ"/>
        </w:rPr>
        <w:t xml:space="preserve">Je zřejmé, že </w:t>
      </w:r>
      <w:r w:rsidR="00BA6986">
        <w:rPr>
          <w:rFonts w:ascii="Calibri" w:eastAsia="Calibri" w:hAnsi="Calibri" w:cs="Calibri"/>
          <w:bCs/>
          <w:lang w:val="cs-CZ"/>
        </w:rPr>
        <w:t xml:space="preserve">pandemie koronaviru a s ní spojené </w:t>
      </w:r>
      <w:r w:rsidR="00DC4E9D">
        <w:rPr>
          <w:rFonts w:ascii="Calibri" w:eastAsia="Calibri" w:hAnsi="Calibri" w:cs="Calibri"/>
          <w:bCs/>
          <w:lang w:val="cs-CZ"/>
        </w:rPr>
        <w:t xml:space="preserve">uzavření většiny obchodů a služeb </w:t>
      </w:r>
      <w:r>
        <w:rPr>
          <w:rFonts w:ascii="Calibri" w:eastAsia="Calibri" w:hAnsi="Calibri" w:cs="Calibri"/>
          <w:bCs/>
          <w:lang w:val="cs-CZ"/>
        </w:rPr>
        <w:t>způsobil</w:t>
      </w:r>
      <w:r w:rsidR="00732C64">
        <w:rPr>
          <w:rFonts w:ascii="Calibri" w:eastAsia="Calibri" w:hAnsi="Calibri" w:cs="Calibri"/>
          <w:bCs/>
          <w:lang w:val="cs-CZ"/>
        </w:rPr>
        <w:t>o</w:t>
      </w:r>
      <w:r>
        <w:rPr>
          <w:rFonts w:ascii="Calibri" w:eastAsia="Calibri" w:hAnsi="Calibri" w:cs="Calibri"/>
          <w:bCs/>
          <w:lang w:val="cs-CZ"/>
        </w:rPr>
        <w:t xml:space="preserve"> obchodním centrům citelné ztráty.</w:t>
      </w:r>
      <w:r w:rsidR="00E549A3">
        <w:rPr>
          <w:rFonts w:ascii="Calibri" w:eastAsia="Calibri" w:hAnsi="Calibri" w:cs="Calibri"/>
          <w:bCs/>
          <w:lang w:val="cs-CZ"/>
        </w:rPr>
        <w:t xml:space="preserve"> </w:t>
      </w:r>
      <w:r w:rsidR="00DC4E9D" w:rsidRPr="00DC4E9D">
        <w:rPr>
          <w:rFonts w:ascii="Calibri" w:eastAsia="Calibri" w:hAnsi="Calibri" w:cs="Calibri"/>
          <w:bCs/>
          <w:lang w:val="cs-CZ"/>
        </w:rPr>
        <w:t>Jelikož</w:t>
      </w:r>
      <w:r w:rsidR="008464F9" w:rsidRPr="00DC4E9D">
        <w:rPr>
          <w:rFonts w:ascii="Calibri" w:eastAsia="Calibri" w:hAnsi="Calibri" w:cs="Calibri"/>
          <w:bCs/>
          <w:lang w:val="cs-CZ"/>
        </w:rPr>
        <w:t xml:space="preserve"> pandemická situace zasáhla celou Evropu, </w:t>
      </w:r>
      <w:r w:rsidR="00DC4E9D" w:rsidRPr="00DC4E9D">
        <w:rPr>
          <w:rFonts w:ascii="Calibri" w:eastAsia="Calibri" w:hAnsi="Calibri" w:cs="Calibri"/>
          <w:bCs/>
          <w:lang w:val="cs-CZ"/>
        </w:rPr>
        <w:t xml:space="preserve">vykazovala </w:t>
      </w:r>
      <w:r w:rsidR="000C18BD">
        <w:rPr>
          <w:rFonts w:ascii="Calibri" w:eastAsia="Calibri" w:hAnsi="Calibri" w:cs="Calibri"/>
          <w:bCs/>
          <w:lang w:val="cs-CZ"/>
        </w:rPr>
        <w:t>výše tržeb</w:t>
      </w:r>
      <w:r w:rsidR="008464F9" w:rsidRPr="00DC4E9D">
        <w:rPr>
          <w:rFonts w:ascii="Calibri" w:eastAsia="Calibri" w:hAnsi="Calibri" w:cs="Calibri"/>
          <w:bCs/>
          <w:lang w:val="cs-CZ"/>
        </w:rPr>
        <w:t xml:space="preserve"> podobn</w:t>
      </w:r>
      <w:r w:rsidR="000C18BD">
        <w:rPr>
          <w:rFonts w:ascii="Calibri" w:eastAsia="Calibri" w:hAnsi="Calibri" w:cs="Calibri"/>
          <w:bCs/>
          <w:lang w:val="cs-CZ"/>
        </w:rPr>
        <w:t>ý</w:t>
      </w:r>
      <w:r w:rsidR="008464F9" w:rsidRPr="00DC4E9D">
        <w:rPr>
          <w:rFonts w:ascii="Calibri" w:eastAsia="Calibri" w:hAnsi="Calibri" w:cs="Calibri"/>
          <w:bCs/>
          <w:lang w:val="cs-CZ"/>
        </w:rPr>
        <w:t xml:space="preserve"> </w:t>
      </w:r>
      <w:r w:rsidR="000C18BD">
        <w:rPr>
          <w:rFonts w:ascii="Calibri" w:eastAsia="Calibri" w:hAnsi="Calibri" w:cs="Calibri"/>
          <w:bCs/>
          <w:lang w:val="cs-CZ"/>
        </w:rPr>
        <w:t>vývoj</w:t>
      </w:r>
      <w:r w:rsidR="000C18BD" w:rsidRPr="00DC4E9D">
        <w:rPr>
          <w:rFonts w:ascii="Calibri" w:eastAsia="Calibri" w:hAnsi="Calibri" w:cs="Calibri"/>
          <w:bCs/>
          <w:lang w:val="cs-CZ"/>
        </w:rPr>
        <w:t xml:space="preserve"> </w:t>
      </w:r>
      <w:r w:rsidR="008464F9" w:rsidRPr="00DC4E9D">
        <w:rPr>
          <w:rFonts w:ascii="Calibri" w:eastAsia="Calibri" w:hAnsi="Calibri" w:cs="Calibri"/>
          <w:bCs/>
          <w:lang w:val="cs-CZ"/>
        </w:rPr>
        <w:t xml:space="preserve">i v ostatních zemích. Pokles obratů se pohyboval </w:t>
      </w:r>
      <w:r w:rsidR="00DE6FB1">
        <w:rPr>
          <w:rFonts w:ascii="Calibri" w:eastAsia="Calibri" w:hAnsi="Calibri" w:cs="Calibri"/>
          <w:bCs/>
          <w:lang w:val="cs-CZ"/>
        </w:rPr>
        <w:t>od 10 do</w:t>
      </w:r>
      <w:r w:rsidR="008464F9" w:rsidRPr="00DC4E9D">
        <w:rPr>
          <w:rFonts w:ascii="Calibri" w:eastAsia="Calibri" w:hAnsi="Calibri" w:cs="Calibri"/>
          <w:bCs/>
          <w:lang w:val="cs-CZ"/>
        </w:rPr>
        <w:t xml:space="preserve"> 40 % v</w:t>
      </w:r>
      <w:r w:rsidR="000D477B">
        <w:rPr>
          <w:rFonts w:ascii="Calibri" w:eastAsia="Calibri" w:hAnsi="Calibri" w:cs="Calibri"/>
          <w:bCs/>
          <w:lang w:val="cs-CZ"/>
        </w:rPr>
        <w:t> </w:t>
      </w:r>
      <w:r w:rsidR="008464F9" w:rsidRPr="00DC4E9D">
        <w:rPr>
          <w:rFonts w:ascii="Calibri" w:eastAsia="Calibri" w:hAnsi="Calibri" w:cs="Calibri"/>
          <w:bCs/>
          <w:lang w:val="cs-CZ"/>
        </w:rPr>
        <w:t xml:space="preserve">závislosti na </w:t>
      </w:r>
      <w:r w:rsidR="005D451A">
        <w:rPr>
          <w:rFonts w:ascii="Calibri" w:eastAsia="Calibri" w:hAnsi="Calibri" w:cs="Calibri"/>
          <w:bCs/>
          <w:lang w:val="cs-CZ"/>
        </w:rPr>
        <w:t xml:space="preserve">konkrétních opatřeních v jednotlivých </w:t>
      </w:r>
      <w:r w:rsidR="008464F9" w:rsidRPr="00DC4E9D">
        <w:rPr>
          <w:rFonts w:ascii="Calibri" w:eastAsia="Calibri" w:hAnsi="Calibri" w:cs="Calibri"/>
          <w:bCs/>
          <w:lang w:val="cs-CZ"/>
        </w:rPr>
        <w:t>státech.</w:t>
      </w:r>
      <w:r w:rsidR="008464F9">
        <w:rPr>
          <w:rFonts w:ascii="Calibri" w:eastAsia="Calibri" w:hAnsi="Calibri" w:cs="Calibri"/>
          <w:bCs/>
          <w:lang w:val="cs-CZ"/>
        </w:rPr>
        <w:t xml:space="preserve"> </w:t>
      </w:r>
      <w:r w:rsidR="00B91BDD" w:rsidRPr="00B91BDD">
        <w:rPr>
          <w:rFonts w:ascii="Calibri" w:eastAsia="Calibri" w:hAnsi="Calibri" w:cs="Calibri"/>
          <w:bCs/>
          <w:i/>
          <w:lang w:val="cs-CZ"/>
        </w:rPr>
        <w:t>„</w:t>
      </w:r>
      <w:r w:rsidR="002429CF">
        <w:rPr>
          <w:rFonts w:ascii="Calibri" w:eastAsia="Calibri" w:hAnsi="Calibri" w:cs="Calibri"/>
          <w:bCs/>
          <w:i/>
          <w:lang w:val="cs-CZ"/>
        </w:rPr>
        <w:t>V tuzemsku byla n</w:t>
      </w:r>
      <w:r w:rsidR="00BA6986" w:rsidRPr="00B91BDD">
        <w:rPr>
          <w:rFonts w:ascii="Calibri" w:hAnsi="Calibri"/>
          <w:i/>
          <w:lang w:val="cs-CZ"/>
        </w:rPr>
        <w:t xml:space="preserve">ejméně zasažena </w:t>
      </w:r>
      <w:r w:rsidR="00AF7F10">
        <w:rPr>
          <w:rFonts w:ascii="Calibri" w:hAnsi="Calibri"/>
          <w:i/>
          <w:lang w:val="cs-CZ"/>
        </w:rPr>
        <w:t xml:space="preserve">ta </w:t>
      </w:r>
      <w:r w:rsidR="008464F9" w:rsidRPr="00B91BDD">
        <w:rPr>
          <w:rFonts w:ascii="Calibri" w:hAnsi="Calibri"/>
          <w:i/>
          <w:lang w:val="cs-CZ"/>
        </w:rPr>
        <w:t xml:space="preserve">regionální </w:t>
      </w:r>
      <w:r w:rsidR="00BA6986" w:rsidRPr="00B91BDD">
        <w:rPr>
          <w:rFonts w:ascii="Calibri" w:hAnsi="Calibri"/>
          <w:i/>
          <w:lang w:val="cs-CZ"/>
        </w:rPr>
        <w:t xml:space="preserve">centra, kde </w:t>
      </w:r>
      <w:r w:rsidR="00DC4E9D" w:rsidRPr="00B91BDD">
        <w:rPr>
          <w:rFonts w:ascii="Calibri" w:hAnsi="Calibri"/>
          <w:i/>
          <w:lang w:val="cs-CZ"/>
        </w:rPr>
        <w:t>oděvní značky</w:t>
      </w:r>
      <w:r w:rsidR="00BA6986" w:rsidRPr="00B91BDD">
        <w:rPr>
          <w:rFonts w:ascii="Calibri" w:hAnsi="Calibri"/>
          <w:i/>
          <w:lang w:val="cs-CZ"/>
        </w:rPr>
        <w:t xml:space="preserve"> z</w:t>
      </w:r>
      <w:r w:rsidR="00DC4E9D" w:rsidRPr="00B91BDD">
        <w:rPr>
          <w:rFonts w:ascii="Calibri" w:hAnsi="Calibri"/>
          <w:i/>
          <w:lang w:val="cs-CZ"/>
        </w:rPr>
        <w:t>aujímají</w:t>
      </w:r>
      <w:r w:rsidR="00BA6986" w:rsidRPr="00B91BDD">
        <w:rPr>
          <w:rFonts w:ascii="Calibri" w:hAnsi="Calibri"/>
          <w:i/>
          <w:lang w:val="cs-CZ"/>
        </w:rPr>
        <w:t xml:space="preserve"> pouze </w:t>
      </w:r>
      <w:r w:rsidR="00732C64">
        <w:rPr>
          <w:rFonts w:ascii="Calibri" w:hAnsi="Calibri"/>
          <w:i/>
          <w:lang w:val="cs-CZ"/>
        </w:rPr>
        <w:t>20 % z celkové nákupní plochy. N</w:t>
      </w:r>
      <w:r w:rsidR="00BA6986" w:rsidRPr="00B91BDD">
        <w:rPr>
          <w:rFonts w:ascii="Calibri" w:hAnsi="Calibri"/>
          <w:i/>
          <w:lang w:val="cs-CZ"/>
        </w:rPr>
        <w:t xml:space="preserve">aopak </w:t>
      </w:r>
      <w:r w:rsidR="000C18BD">
        <w:rPr>
          <w:rFonts w:ascii="Calibri" w:hAnsi="Calibri"/>
          <w:i/>
          <w:lang w:val="cs-CZ"/>
        </w:rPr>
        <w:t xml:space="preserve">jsou výrazněji zastoupeny </w:t>
      </w:r>
      <w:r w:rsidR="00DC4E9D" w:rsidRPr="00B91BDD">
        <w:rPr>
          <w:rFonts w:ascii="Calibri" w:hAnsi="Calibri"/>
          <w:i/>
          <w:lang w:val="cs-CZ"/>
        </w:rPr>
        <w:t>obchody ze sektoru</w:t>
      </w:r>
      <w:r w:rsidR="00BA6986" w:rsidRPr="00B91BDD">
        <w:rPr>
          <w:rFonts w:ascii="Calibri" w:hAnsi="Calibri"/>
          <w:i/>
          <w:lang w:val="cs-CZ"/>
        </w:rPr>
        <w:t xml:space="preserve"> domácí</w:t>
      </w:r>
      <w:r w:rsidR="00DC4E9D" w:rsidRPr="00B91BDD">
        <w:rPr>
          <w:rFonts w:ascii="Calibri" w:hAnsi="Calibri"/>
          <w:i/>
          <w:lang w:val="cs-CZ"/>
        </w:rPr>
        <w:t>ch potřeb a nábyt</w:t>
      </w:r>
      <w:r w:rsidR="00BA6986" w:rsidRPr="00B91BDD">
        <w:rPr>
          <w:rFonts w:ascii="Calibri" w:hAnsi="Calibri"/>
          <w:i/>
          <w:lang w:val="cs-CZ"/>
        </w:rPr>
        <w:t>k</w:t>
      </w:r>
      <w:r w:rsidR="00DC4E9D" w:rsidRPr="00B91BDD">
        <w:rPr>
          <w:rFonts w:ascii="Calibri" w:hAnsi="Calibri"/>
          <w:i/>
          <w:lang w:val="cs-CZ"/>
        </w:rPr>
        <w:t>u</w:t>
      </w:r>
      <w:r w:rsidR="00BA6986" w:rsidRPr="00B91BDD">
        <w:rPr>
          <w:rFonts w:ascii="Calibri" w:hAnsi="Calibri"/>
          <w:i/>
          <w:lang w:val="cs-CZ"/>
        </w:rPr>
        <w:t>, služ</w:t>
      </w:r>
      <w:r w:rsidR="00DC4E9D" w:rsidRPr="00B91BDD">
        <w:rPr>
          <w:rFonts w:ascii="Calibri" w:hAnsi="Calibri"/>
          <w:i/>
          <w:lang w:val="cs-CZ"/>
        </w:rPr>
        <w:t>eb a</w:t>
      </w:r>
      <w:r w:rsidR="000D477B">
        <w:rPr>
          <w:rFonts w:ascii="Calibri" w:hAnsi="Calibri"/>
          <w:i/>
          <w:lang w:val="cs-CZ"/>
        </w:rPr>
        <w:t> </w:t>
      </w:r>
      <w:r w:rsidR="00DC4E9D" w:rsidRPr="00B91BDD">
        <w:rPr>
          <w:rFonts w:ascii="Calibri" w:hAnsi="Calibri"/>
          <w:i/>
          <w:lang w:val="cs-CZ"/>
        </w:rPr>
        <w:t>specializovaného</w:t>
      </w:r>
      <w:r w:rsidR="00BA6986" w:rsidRPr="00B91BDD">
        <w:rPr>
          <w:rFonts w:ascii="Calibri" w:hAnsi="Calibri"/>
          <w:i/>
          <w:lang w:val="cs-CZ"/>
        </w:rPr>
        <w:t xml:space="preserve"> maloobchod</w:t>
      </w:r>
      <w:r w:rsidR="00DC4E9D" w:rsidRPr="00B91BDD">
        <w:rPr>
          <w:rFonts w:ascii="Calibri" w:hAnsi="Calibri"/>
          <w:i/>
          <w:lang w:val="cs-CZ"/>
        </w:rPr>
        <w:t>u</w:t>
      </w:r>
      <w:r w:rsidR="00BA6986" w:rsidRPr="00B91BDD">
        <w:rPr>
          <w:rFonts w:ascii="Calibri" w:hAnsi="Calibri"/>
          <w:i/>
          <w:lang w:val="cs-CZ"/>
        </w:rPr>
        <w:t xml:space="preserve">. </w:t>
      </w:r>
      <w:r w:rsidR="00DC4E9D" w:rsidRPr="00B91BDD">
        <w:rPr>
          <w:rFonts w:ascii="Calibri" w:hAnsi="Calibri"/>
          <w:i/>
          <w:lang w:val="cs-CZ"/>
        </w:rPr>
        <w:t>Taková centra</w:t>
      </w:r>
      <w:r w:rsidR="002429CF">
        <w:rPr>
          <w:rFonts w:ascii="Calibri" w:hAnsi="Calibri"/>
          <w:i/>
          <w:lang w:val="cs-CZ"/>
        </w:rPr>
        <w:t xml:space="preserve"> zaznamenala</w:t>
      </w:r>
      <w:r w:rsidR="00732C64">
        <w:rPr>
          <w:rFonts w:ascii="Calibri" w:hAnsi="Calibri"/>
          <w:i/>
          <w:lang w:val="cs-CZ"/>
        </w:rPr>
        <w:t xml:space="preserve"> ´pouze´</w:t>
      </w:r>
      <w:r w:rsidR="00BA6986" w:rsidRPr="00B91BDD">
        <w:rPr>
          <w:rFonts w:ascii="Calibri" w:hAnsi="Calibri"/>
          <w:i/>
          <w:lang w:val="cs-CZ"/>
        </w:rPr>
        <w:t xml:space="preserve"> 11% pr</w:t>
      </w:r>
      <w:r w:rsidR="00732C64">
        <w:rPr>
          <w:rFonts w:ascii="Calibri" w:hAnsi="Calibri"/>
          <w:i/>
          <w:lang w:val="cs-CZ"/>
        </w:rPr>
        <w:t>opad obratů. Naopak zážitková obchodní centra</w:t>
      </w:r>
      <w:r w:rsidR="00BA6986" w:rsidRPr="00B91BDD">
        <w:rPr>
          <w:rFonts w:ascii="Calibri" w:hAnsi="Calibri"/>
          <w:i/>
          <w:lang w:val="cs-CZ"/>
        </w:rPr>
        <w:t>, kde</w:t>
      </w:r>
      <w:r w:rsidR="00EA6832">
        <w:rPr>
          <w:rFonts w:ascii="Calibri" w:hAnsi="Calibri"/>
          <w:i/>
          <w:lang w:val="cs-CZ"/>
        </w:rPr>
        <w:t> </w:t>
      </w:r>
      <w:r w:rsidR="00B52D8E">
        <w:rPr>
          <w:rFonts w:ascii="Calibri" w:hAnsi="Calibri"/>
          <w:i/>
          <w:lang w:val="cs-CZ"/>
        </w:rPr>
        <w:t>se</w:t>
      </w:r>
      <w:r w:rsidR="00B52D8E" w:rsidRPr="00B91BDD">
        <w:rPr>
          <w:rFonts w:ascii="Calibri" w:hAnsi="Calibri"/>
          <w:i/>
          <w:lang w:val="cs-CZ"/>
        </w:rPr>
        <w:t xml:space="preserve"> </w:t>
      </w:r>
      <w:r w:rsidR="00BA6986" w:rsidRPr="00B91BDD">
        <w:rPr>
          <w:rFonts w:ascii="Calibri" w:hAnsi="Calibri"/>
          <w:i/>
          <w:lang w:val="cs-CZ"/>
        </w:rPr>
        <w:t xml:space="preserve">móda </w:t>
      </w:r>
      <w:r w:rsidR="00B52D8E">
        <w:rPr>
          <w:rFonts w:ascii="Calibri" w:hAnsi="Calibri"/>
          <w:i/>
          <w:lang w:val="cs-CZ"/>
        </w:rPr>
        <w:t>podílí</w:t>
      </w:r>
      <w:r w:rsidR="00B52D8E" w:rsidRPr="00B91BDD">
        <w:rPr>
          <w:rFonts w:ascii="Calibri" w:hAnsi="Calibri"/>
          <w:i/>
          <w:lang w:val="cs-CZ"/>
        </w:rPr>
        <w:t xml:space="preserve"> </w:t>
      </w:r>
      <w:r w:rsidR="00BA6986" w:rsidRPr="00B91BDD">
        <w:rPr>
          <w:rFonts w:ascii="Calibri" w:hAnsi="Calibri"/>
          <w:i/>
          <w:lang w:val="cs-CZ"/>
        </w:rPr>
        <w:t>až ze 45 % a značn</w:t>
      </w:r>
      <w:r w:rsidR="00DC4E9D" w:rsidRPr="00B91BDD">
        <w:rPr>
          <w:rFonts w:ascii="Calibri" w:hAnsi="Calibri"/>
          <w:i/>
          <w:lang w:val="cs-CZ"/>
        </w:rPr>
        <w:t>á</w:t>
      </w:r>
      <w:r w:rsidR="00BA6986" w:rsidRPr="00B91BDD">
        <w:rPr>
          <w:rFonts w:ascii="Calibri" w:hAnsi="Calibri"/>
          <w:i/>
          <w:lang w:val="cs-CZ"/>
        </w:rPr>
        <w:t xml:space="preserve"> část plochy </w:t>
      </w:r>
      <w:r w:rsidR="00DC4E9D" w:rsidRPr="00B91BDD">
        <w:rPr>
          <w:rFonts w:ascii="Calibri" w:hAnsi="Calibri"/>
          <w:i/>
          <w:lang w:val="cs-CZ"/>
        </w:rPr>
        <w:t xml:space="preserve">je věnována </w:t>
      </w:r>
      <w:r w:rsidR="00BA6986" w:rsidRPr="00B91BDD">
        <w:rPr>
          <w:rFonts w:ascii="Calibri" w:hAnsi="Calibri"/>
          <w:i/>
          <w:lang w:val="cs-CZ"/>
        </w:rPr>
        <w:t>volnočasový</w:t>
      </w:r>
      <w:r w:rsidR="00DC4E9D" w:rsidRPr="00B91BDD">
        <w:rPr>
          <w:rFonts w:ascii="Calibri" w:hAnsi="Calibri"/>
          <w:i/>
          <w:lang w:val="cs-CZ"/>
        </w:rPr>
        <w:t>m</w:t>
      </w:r>
      <w:r w:rsidR="00BA6986" w:rsidRPr="00B91BDD">
        <w:rPr>
          <w:rFonts w:ascii="Calibri" w:hAnsi="Calibri"/>
          <w:i/>
          <w:lang w:val="cs-CZ"/>
        </w:rPr>
        <w:t xml:space="preserve"> aktivit</w:t>
      </w:r>
      <w:r w:rsidR="00DC4E9D" w:rsidRPr="00B91BDD">
        <w:rPr>
          <w:rFonts w:ascii="Calibri" w:hAnsi="Calibri"/>
          <w:i/>
          <w:lang w:val="cs-CZ"/>
        </w:rPr>
        <w:t>ám</w:t>
      </w:r>
      <w:r w:rsidR="00BA6986" w:rsidRPr="00B91BDD">
        <w:rPr>
          <w:rFonts w:ascii="Calibri" w:hAnsi="Calibri"/>
          <w:i/>
          <w:lang w:val="cs-CZ"/>
        </w:rPr>
        <w:t xml:space="preserve">, byla </w:t>
      </w:r>
      <w:r w:rsidR="002429CF">
        <w:rPr>
          <w:rFonts w:ascii="Calibri" w:hAnsi="Calibri"/>
          <w:i/>
          <w:lang w:val="cs-CZ"/>
        </w:rPr>
        <w:t>postižena</w:t>
      </w:r>
      <w:r w:rsidR="00BA6986" w:rsidRPr="00B91BDD">
        <w:rPr>
          <w:rFonts w:ascii="Calibri" w:hAnsi="Calibri"/>
          <w:i/>
          <w:lang w:val="cs-CZ"/>
        </w:rPr>
        <w:t xml:space="preserve"> ne</w:t>
      </w:r>
      <w:r w:rsidR="00C81FAE">
        <w:rPr>
          <w:rFonts w:ascii="Calibri" w:hAnsi="Calibri"/>
          <w:i/>
          <w:lang w:val="cs-CZ"/>
        </w:rPr>
        <w:t>j</w:t>
      </w:r>
      <w:r w:rsidR="00BA6986" w:rsidRPr="00B91BDD">
        <w:rPr>
          <w:rFonts w:ascii="Calibri" w:hAnsi="Calibri"/>
          <w:i/>
          <w:lang w:val="cs-CZ"/>
        </w:rPr>
        <w:t xml:space="preserve">více. Propad jejich </w:t>
      </w:r>
      <w:r w:rsidR="00B91BDD" w:rsidRPr="00B91BDD">
        <w:rPr>
          <w:rFonts w:ascii="Calibri" w:hAnsi="Calibri"/>
          <w:i/>
          <w:lang w:val="cs-CZ"/>
        </w:rPr>
        <w:t>obratů dosahuje až 28 %,“</w:t>
      </w:r>
      <w:r w:rsidR="00B91BDD">
        <w:rPr>
          <w:rFonts w:ascii="Calibri" w:hAnsi="Calibri"/>
          <w:lang w:val="cs-CZ"/>
        </w:rPr>
        <w:t xml:space="preserve"> komentuje </w:t>
      </w:r>
      <w:r w:rsidR="00B91BDD" w:rsidRPr="00B91BDD">
        <w:rPr>
          <w:rFonts w:ascii="Calibri" w:hAnsi="Calibri"/>
          <w:b/>
          <w:lang w:val="cs-CZ"/>
        </w:rPr>
        <w:t>Tomáš Míček</w:t>
      </w:r>
      <w:r w:rsidR="00B91BDD">
        <w:rPr>
          <w:rFonts w:ascii="Calibri" w:hAnsi="Calibri"/>
          <w:lang w:val="cs-CZ"/>
        </w:rPr>
        <w:t>.</w:t>
      </w:r>
    </w:p>
    <w:p w14:paraId="003A9219" w14:textId="77777777" w:rsidR="00BA6986" w:rsidRDefault="00BA6986" w:rsidP="00BA6986">
      <w:pPr>
        <w:jc w:val="both"/>
        <w:rPr>
          <w:rFonts w:ascii="Calibri" w:hAnsi="Calibri"/>
          <w:b/>
          <w:lang w:val="cs-CZ"/>
        </w:rPr>
      </w:pPr>
    </w:p>
    <w:p w14:paraId="2116E31B" w14:textId="29C90EA6" w:rsidR="009E20BE" w:rsidRDefault="00BA6986" w:rsidP="000C5660">
      <w:pPr>
        <w:jc w:val="both"/>
        <w:rPr>
          <w:rFonts w:ascii="Calibri" w:eastAsia="Calibri" w:hAnsi="Calibri" w:cs="Calibri"/>
          <w:bCs/>
          <w:lang w:val="cs-CZ"/>
        </w:rPr>
      </w:pPr>
      <w:r>
        <w:rPr>
          <w:rFonts w:ascii="Calibri" w:eastAsia="Calibri" w:hAnsi="Calibri" w:cs="Calibri"/>
          <w:bCs/>
          <w:lang w:val="cs-CZ"/>
        </w:rPr>
        <w:t>Hodnot</w:t>
      </w:r>
      <w:r w:rsidR="00732C64">
        <w:rPr>
          <w:rFonts w:ascii="Calibri" w:eastAsia="Calibri" w:hAnsi="Calibri" w:cs="Calibri"/>
          <w:bCs/>
          <w:lang w:val="cs-CZ"/>
        </w:rPr>
        <w:t xml:space="preserve">íme-li jednotlivé segmenty, </w:t>
      </w:r>
      <w:r>
        <w:rPr>
          <w:rFonts w:ascii="Calibri" w:eastAsia="Calibri" w:hAnsi="Calibri" w:cs="Calibri"/>
          <w:bCs/>
          <w:lang w:val="cs-CZ"/>
        </w:rPr>
        <w:t xml:space="preserve">nejvíce zasaženým </w:t>
      </w:r>
      <w:r w:rsidR="00DC4E9D">
        <w:rPr>
          <w:rFonts w:ascii="Calibri" w:eastAsia="Calibri" w:hAnsi="Calibri" w:cs="Calibri"/>
          <w:bCs/>
          <w:lang w:val="cs-CZ"/>
        </w:rPr>
        <w:t>byl</w:t>
      </w:r>
      <w:r>
        <w:rPr>
          <w:rFonts w:ascii="Calibri" w:eastAsia="Calibri" w:hAnsi="Calibri" w:cs="Calibri"/>
          <w:bCs/>
          <w:lang w:val="cs-CZ"/>
        </w:rPr>
        <w:t xml:space="preserve"> </w:t>
      </w:r>
      <w:r w:rsidR="00C81FAE">
        <w:rPr>
          <w:rFonts w:ascii="Calibri" w:eastAsia="Calibri" w:hAnsi="Calibri" w:cs="Calibri"/>
          <w:bCs/>
          <w:lang w:val="cs-CZ"/>
        </w:rPr>
        <w:t xml:space="preserve">provoz </w:t>
      </w:r>
      <w:r w:rsidR="000C18BD">
        <w:rPr>
          <w:rFonts w:ascii="Calibri" w:eastAsia="Calibri" w:hAnsi="Calibri" w:cs="Calibri"/>
          <w:bCs/>
          <w:lang w:val="cs-CZ"/>
        </w:rPr>
        <w:t>gastronomie</w:t>
      </w:r>
      <w:r>
        <w:rPr>
          <w:rFonts w:ascii="Calibri" w:eastAsia="Calibri" w:hAnsi="Calibri" w:cs="Calibri"/>
          <w:bCs/>
          <w:lang w:val="cs-CZ"/>
        </w:rPr>
        <w:t xml:space="preserve">. </w:t>
      </w:r>
      <w:r w:rsidR="00542647">
        <w:rPr>
          <w:rFonts w:ascii="Calibri" w:eastAsia="Calibri" w:hAnsi="Calibri" w:cs="Calibri"/>
          <w:bCs/>
          <w:lang w:val="cs-CZ"/>
        </w:rPr>
        <w:t>N</w:t>
      </w:r>
      <w:r w:rsidR="00542647" w:rsidRPr="00542647">
        <w:rPr>
          <w:rFonts w:ascii="Calibri" w:eastAsia="Calibri" w:hAnsi="Calibri" w:cs="Calibri"/>
          <w:bCs/>
          <w:lang w:val="cs-CZ"/>
        </w:rPr>
        <w:t>ejdynamičtější sektor posledních tří let</w:t>
      </w:r>
      <w:r w:rsidR="00542647">
        <w:rPr>
          <w:rFonts w:ascii="Calibri" w:eastAsia="Calibri" w:hAnsi="Calibri" w:cs="Calibri"/>
          <w:bCs/>
          <w:lang w:val="cs-CZ"/>
        </w:rPr>
        <w:t xml:space="preserve">, který </w:t>
      </w:r>
      <w:r w:rsidR="00542647" w:rsidRPr="00542647">
        <w:rPr>
          <w:rFonts w:ascii="Calibri" w:eastAsia="Calibri" w:hAnsi="Calibri" w:cs="Calibri"/>
          <w:bCs/>
          <w:lang w:val="cs-CZ"/>
        </w:rPr>
        <w:t>v minulosti zaznamen</w:t>
      </w:r>
      <w:r w:rsidR="00E82333">
        <w:rPr>
          <w:rFonts w:ascii="Calibri" w:eastAsia="Calibri" w:hAnsi="Calibri" w:cs="Calibri"/>
          <w:bCs/>
          <w:lang w:val="cs-CZ"/>
        </w:rPr>
        <w:t>áv</w:t>
      </w:r>
      <w:r w:rsidR="00542647" w:rsidRPr="00542647">
        <w:rPr>
          <w:rFonts w:ascii="Calibri" w:eastAsia="Calibri" w:hAnsi="Calibri" w:cs="Calibri"/>
          <w:bCs/>
          <w:lang w:val="cs-CZ"/>
        </w:rPr>
        <w:t xml:space="preserve">al dvouciferný růst, </w:t>
      </w:r>
      <w:r w:rsidR="00542647">
        <w:rPr>
          <w:rFonts w:ascii="Calibri" w:eastAsia="Calibri" w:hAnsi="Calibri" w:cs="Calibri"/>
          <w:bCs/>
          <w:lang w:val="cs-CZ"/>
        </w:rPr>
        <w:t xml:space="preserve">vloni </w:t>
      </w:r>
      <w:r w:rsidR="00732C64" w:rsidRPr="007243F3">
        <w:rPr>
          <w:rFonts w:ascii="Calibri" w:eastAsia="Calibri" w:hAnsi="Calibri" w:cs="Calibri"/>
          <w:bCs/>
          <w:color w:val="auto"/>
          <w:lang w:val="cs-CZ"/>
        </w:rPr>
        <w:t xml:space="preserve">v  obchodních centrech </w:t>
      </w:r>
      <w:r>
        <w:rPr>
          <w:rFonts w:ascii="Calibri" w:eastAsia="Calibri" w:hAnsi="Calibri" w:cs="Calibri"/>
          <w:bCs/>
          <w:lang w:val="cs-CZ"/>
        </w:rPr>
        <w:t>meziročně kles</w:t>
      </w:r>
      <w:r w:rsidR="00542647">
        <w:rPr>
          <w:rFonts w:ascii="Calibri" w:eastAsia="Calibri" w:hAnsi="Calibri" w:cs="Calibri"/>
          <w:bCs/>
          <w:lang w:val="cs-CZ"/>
        </w:rPr>
        <w:t>l</w:t>
      </w:r>
      <w:r>
        <w:rPr>
          <w:rFonts w:ascii="Calibri" w:eastAsia="Calibri" w:hAnsi="Calibri" w:cs="Calibri"/>
          <w:bCs/>
          <w:lang w:val="cs-CZ"/>
        </w:rPr>
        <w:t xml:space="preserve"> o</w:t>
      </w:r>
      <w:r w:rsidR="00DE6FB1">
        <w:rPr>
          <w:rFonts w:ascii="Calibri" w:eastAsia="Calibri" w:hAnsi="Calibri" w:cs="Calibri"/>
          <w:bCs/>
          <w:lang w:val="cs-CZ"/>
        </w:rPr>
        <w:t> </w:t>
      </w:r>
      <w:r w:rsidR="00681E56" w:rsidRPr="00681E56">
        <w:rPr>
          <w:rFonts w:ascii="Calibri" w:eastAsia="Calibri" w:hAnsi="Calibri" w:cs="Calibri"/>
          <w:bCs/>
          <w:lang w:val="cs-CZ"/>
        </w:rPr>
        <w:t>36</w:t>
      </w:r>
      <w:r w:rsidR="00DE6FB1">
        <w:rPr>
          <w:rFonts w:ascii="Calibri" w:eastAsia="Calibri" w:hAnsi="Calibri" w:cs="Calibri"/>
          <w:bCs/>
          <w:lang w:val="cs-CZ"/>
        </w:rPr>
        <w:t> </w:t>
      </w:r>
      <w:r w:rsidR="00681E56" w:rsidRPr="00681E56">
        <w:rPr>
          <w:rFonts w:ascii="Calibri" w:eastAsia="Calibri" w:hAnsi="Calibri" w:cs="Calibri"/>
          <w:bCs/>
          <w:lang w:val="cs-CZ"/>
        </w:rPr>
        <w:t xml:space="preserve">%. </w:t>
      </w:r>
      <w:r w:rsidR="00DC4E9D">
        <w:rPr>
          <w:rFonts w:ascii="Calibri" w:eastAsia="Calibri" w:hAnsi="Calibri" w:cs="Calibri"/>
          <w:bCs/>
          <w:lang w:val="cs-CZ"/>
        </w:rPr>
        <w:t>O</w:t>
      </w:r>
      <w:r w:rsidR="009E20BE">
        <w:rPr>
          <w:rFonts w:ascii="Calibri" w:eastAsia="Calibri" w:hAnsi="Calibri" w:cs="Calibri"/>
          <w:bCs/>
          <w:lang w:val="cs-CZ"/>
        </w:rPr>
        <w:t xml:space="preserve">všem </w:t>
      </w:r>
      <w:r w:rsidR="00681E56" w:rsidRPr="00681E56">
        <w:rPr>
          <w:rFonts w:ascii="Calibri" w:eastAsia="Calibri" w:hAnsi="Calibri" w:cs="Calibri"/>
          <w:bCs/>
          <w:lang w:val="cs-CZ"/>
        </w:rPr>
        <w:t xml:space="preserve">s 30% propadem </w:t>
      </w:r>
      <w:r w:rsidR="00DC4E9D">
        <w:rPr>
          <w:rFonts w:ascii="Calibri" w:eastAsia="Calibri" w:hAnsi="Calibri" w:cs="Calibri"/>
          <w:bCs/>
          <w:lang w:val="cs-CZ"/>
        </w:rPr>
        <w:t xml:space="preserve">ho </w:t>
      </w:r>
      <w:r w:rsidR="009E20BE">
        <w:rPr>
          <w:rFonts w:ascii="Calibri" w:eastAsia="Calibri" w:hAnsi="Calibri" w:cs="Calibri"/>
          <w:bCs/>
          <w:lang w:val="cs-CZ"/>
        </w:rPr>
        <w:t>násled</w:t>
      </w:r>
      <w:r w:rsidR="00DC4E9D">
        <w:rPr>
          <w:rFonts w:ascii="Calibri" w:eastAsia="Calibri" w:hAnsi="Calibri" w:cs="Calibri"/>
          <w:bCs/>
          <w:lang w:val="cs-CZ"/>
        </w:rPr>
        <w:t>ovaly</w:t>
      </w:r>
      <w:r w:rsidR="009E20BE">
        <w:rPr>
          <w:rFonts w:ascii="Calibri" w:eastAsia="Calibri" w:hAnsi="Calibri" w:cs="Calibri"/>
          <w:bCs/>
          <w:lang w:val="cs-CZ"/>
        </w:rPr>
        <w:t xml:space="preserve"> </w:t>
      </w:r>
      <w:r w:rsidR="00681E56" w:rsidRPr="00681E56">
        <w:rPr>
          <w:rFonts w:ascii="Calibri" w:eastAsia="Calibri" w:hAnsi="Calibri" w:cs="Calibri"/>
          <w:bCs/>
          <w:lang w:val="cs-CZ"/>
        </w:rPr>
        <w:t>kategorie módy a</w:t>
      </w:r>
      <w:r w:rsidR="000D477B">
        <w:rPr>
          <w:rFonts w:ascii="Calibri" w:eastAsia="Calibri" w:hAnsi="Calibri" w:cs="Calibri"/>
          <w:bCs/>
          <w:lang w:val="cs-CZ"/>
        </w:rPr>
        <w:t> </w:t>
      </w:r>
      <w:r w:rsidR="00681E56" w:rsidRPr="00681E56">
        <w:rPr>
          <w:rFonts w:ascii="Calibri" w:eastAsia="Calibri" w:hAnsi="Calibri" w:cs="Calibri"/>
          <w:bCs/>
          <w:lang w:val="cs-CZ"/>
        </w:rPr>
        <w:t>doplňků. Zde, podobně jako v</w:t>
      </w:r>
      <w:r w:rsidR="00DE6FB1">
        <w:rPr>
          <w:rFonts w:ascii="Calibri" w:eastAsia="Calibri" w:hAnsi="Calibri" w:cs="Calibri"/>
          <w:bCs/>
          <w:lang w:val="cs-CZ"/>
        </w:rPr>
        <w:t> </w:t>
      </w:r>
      <w:r w:rsidR="00681E56" w:rsidRPr="00681E56">
        <w:rPr>
          <w:rFonts w:ascii="Calibri" w:eastAsia="Calibri" w:hAnsi="Calibri" w:cs="Calibri"/>
          <w:bCs/>
          <w:lang w:val="cs-CZ"/>
        </w:rPr>
        <w:t xml:space="preserve">oblasti prodeje sportovních potřeb, sehrála velkou roli sezónnost. Prodejci </w:t>
      </w:r>
      <w:r w:rsidR="00357C8A">
        <w:rPr>
          <w:rFonts w:ascii="Calibri" w:eastAsia="Calibri" w:hAnsi="Calibri" w:cs="Calibri"/>
          <w:bCs/>
          <w:lang w:val="cs-CZ"/>
        </w:rPr>
        <w:t xml:space="preserve">totiž </w:t>
      </w:r>
      <w:r w:rsidR="00DC4E9D">
        <w:rPr>
          <w:rFonts w:ascii="Calibri" w:eastAsia="Calibri" w:hAnsi="Calibri" w:cs="Calibri"/>
          <w:bCs/>
          <w:lang w:val="cs-CZ"/>
        </w:rPr>
        <w:t>ne</w:t>
      </w:r>
      <w:r w:rsidR="00681E56" w:rsidRPr="00681E56">
        <w:rPr>
          <w:rFonts w:ascii="Calibri" w:eastAsia="Calibri" w:hAnsi="Calibri" w:cs="Calibri"/>
          <w:bCs/>
          <w:lang w:val="cs-CZ"/>
        </w:rPr>
        <w:t xml:space="preserve">měli kvůli </w:t>
      </w:r>
      <w:r w:rsidR="002429CF">
        <w:rPr>
          <w:rFonts w:ascii="Calibri" w:eastAsia="Calibri" w:hAnsi="Calibri" w:cs="Calibri"/>
          <w:bCs/>
          <w:lang w:val="cs-CZ"/>
        </w:rPr>
        <w:t xml:space="preserve">zásobám </w:t>
      </w:r>
      <w:r w:rsidR="00E82333">
        <w:rPr>
          <w:rFonts w:ascii="Calibri" w:eastAsia="Calibri" w:hAnsi="Calibri" w:cs="Calibri"/>
          <w:bCs/>
          <w:lang w:val="cs-CZ"/>
        </w:rPr>
        <w:t>neprodaných kolekcí</w:t>
      </w:r>
      <w:r w:rsidR="00D07CBF">
        <w:rPr>
          <w:rFonts w:ascii="Calibri" w:eastAsia="Calibri" w:hAnsi="Calibri" w:cs="Calibri"/>
          <w:bCs/>
          <w:lang w:val="cs-CZ"/>
        </w:rPr>
        <w:t xml:space="preserve"> </w:t>
      </w:r>
      <w:r w:rsidR="00DC4E9D">
        <w:rPr>
          <w:rFonts w:ascii="Calibri" w:eastAsia="Calibri" w:hAnsi="Calibri" w:cs="Calibri"/>
          <w:bCs/>
          <w:lang w:val="cs-CZ"/>
        </w:rPr>
        <w:t>dostatek</w:t>
      </w:r>
      <w:r w:rsidR="00681E56" w:rsidRPr="00681E56">
        <w:rPr>
          <w:rFonts w:ascii="Calibri" w:eastAsia="Calibri" w:hAnsi="Calibri" w:cs="Calibri"/>
          <w:bCs/>
          <w:lang w:val="cs-CZ"/>
        </w:rPr>
        <w:t xml:space="preserve"> </w:t>
      </w:r>
      <w:r w:rsidR="00357C8A">
        <w:rPr>
          <w:rFonts w:ascii="Calibri" w:eastAsia="Calibri" w:hAnsi="Calibri" w:cs="Calibri"/>
          <w:bCs/>
          <w:lang w:val="cs-CZ"/>
        </w:rPr>
        <w:t xml:space="preserve">volných </w:t>
      </w:r>
      <w:r w:rsidR="00681E56" w:rsidRPr="00681E56">
        <w:rPr>
          <w:rFonts w:ascii="Calibri" w:eastAsia="Calibri" w:hAnsi="Calibri" w:cs="Calibri"/>
          <w:bCs/>
          <w:lang w:val="cs-CZ"/>
        </w:rPr>
        <w:t>finanční</w:t>
      </w:r>
      <w:r w:rsidR="00DC4E9D">
        <w:rPr>
          <w:rFonts w:ascii="Calibri" w:eastAsia="Calibri" w:hAnsi="Calibri" w:cs="Calibri"/>
          <w:bCs/>
          <w:lang w:val="cs-CZ"/>
        </w:rPr>
        <w:t>ch prostředků</w:t>
      </w:r>
      <w:r w:rsidR="00681E56" w:rsidRPr="00681E56">
        <w:rPr>
          <w:rFonts w:ascii="Calibri" w:eastAsia="Calibri" w:hAnsi="Calibri" w:cs="Calibri"/>
          <w:bCs/>
          <w:lang w:val="cs-CZ"/>
        </w:rPr>
        <w:t xml:space="preserve"> na nákup nových kolekcí.</w:t>
      </w:r>
      <w:r w:rsidR="000E06C7">
        <w:rPr>
          <w:rFonts w:ascii="Calibri" w:eastAsia="Calibri" w:hAnsi="Calibri" w:cs="Calibri"/>
          <w:bCs/>
          <w:lang w:val="cs-CZ"/>
        </w:rPr>
        <w:t xml:space="preserve"> </w:t>
      </w:r>
    </w:p>
    <w:p w14:paraId="2E3DF058" w14:textId="77777777" w:rsidR="009E20BE" w:rsidRDefault="009E20BE" w:rsidP="000C5660">
      <w:pPr>
        <w:jc w:val="both"/>
        <w:rPr>
          <w:rFonts w:ascii="Calibri" w:eastAsia="Calibri" w:hAnsi="Calibri" w:cs="Calibri"/>
          <w:bCs/>
          <w:lang w:val="cs-CZ"/>
        </w:rPr>
      </w:pPr>
    </w:p>
    <w:p w14:paraId="562EFD73" w14:textId="3D031524" w:rsidR="00B85EEA" w:rsidRDefault="00B91BDD" w:rsidP="00300A1A">
      <w:pPr>
        <w:jc w:val="both"/>
        <w:rPr>
          <w:rFonts w:ascii="Calibri" w:eastAsia="Calibri" w:hAnsi="Calibri" w:cs="Calibri"/>
          <w:bCs/>
          <w:lang w:val="cs-CZ"/>
        </w:rPr>
      </w:pPr>
      <w:r w:rsidRPr="00B91BDD">
        <w:rPr>
          <w:rFonts w:ascii="Calibri" w:eastAsia="Calibri" w:hAnsi="Calibri" w:cs="Calibri"/>
          <w:bCs/>
          <w:i/>
          <w:lang w:val="cs-CZ"/>
        </w:rPr>
        <w:t>„</w:t>
      </w:r>
      <w:r w:rsidR="00F6281C" w:rsidRPr="00B91BDD">
        <w:rPr>
          <w:rFonts w:ascii="Calibri" w:eastAsia="Calibri" w:hAnsi="Calibri" w:cs="Calibri"/>
          <w:bCs/>
          <w:i/>
          <w:lang w:val="cs-CZ"/>
        </w:rPr>
        <w:t xml:space="preserve">Služby, které v předchozích letech </w:t>
      </w:r>
      <w:r w:rsidR="00732C64">
        <w:rPr>
          <w:rFonts w:ascii="Calibri" w:eastAsia="Calibri" w:hAnsi="Calibri" w:cs="Calibri"/>
          <w:bCs/>
          <w:i/>
          <w:lang w:val="cs-CZ"/>
        </w:rPr>
        <w:t xml:space="preserve">vykazovaly </w:t>
      </w:r>
      <w:r w:rsidR="00E142F4">
        <w:rPr>
          <w:rFonts w:ascii="Calibri" w:eastAsia="Calibri" w:hAnsi="Calibri" w:cs="Calibri"/>
          <w:bCs/>
          <w:i/>
          <w:lang w:val="cs-CZ"/>
        </w:rPr>
        <w:t>solidní</w:t>
      </w:r>
      <w:r w:rsidR="00F6281C" w:rsidRPr="00B91BDD">
        <w:rPr>
          <w:rFonts w:ascii="Calibri" w:eastAsia="Calibri" w:hAnsi="Calibri" w:cs="Calibri"/>
          <w:bCs/>
          <w:i/>
          <w:lang w:val="cs-CZ"/>
        </w:rPr>
        <w:t xml:space="preserve"> dynamiku, meziročně poklesly o téměř 28</w:t>
      </w:r>
      <w:r w:rsidR="009E20BE" w:rsidRPr="00B91BDD">
        <w:rPr>
          <w:rFonts w:ascii="Calibri" w:eastAsia="Calibri" w:hAnsi="Calibri" w:cs="Calibri"/>
          <w:bCs/>
          <w:i/>
          <w:lang w:val="cs-CZ"/>
        </w:rPr>
        <w:t> </w:t>
      </w:r>
      <w:r w:rsidR="00F6281C" w:rsidRPr="00B91BDD">
        <w:rPr>
          <w:rFonts w:ascii="Calibri" w:eastAsia="Calibri" w:hAnsi="Calibri" w:cs="Calibri"/>
          <w:bCs/>
          <w:i/>
          <w:lang w:val="cs-CZ"/>
        </w:rPr>
        <w:t>%. Hlavním důvodem byl</w:t>
      </w:r>
      <w:r w:rsidR="00285BB6" w:rsidRPr="00B91BDD">
        <w:rPr>
          <w:rFonts w:ascii="Calibri" w:eastAsia="Calibri" w:hAnsi="Calibri" w:cs="Calibri"/>
          <w:bCs/>
          <w:i/>
          <w:lang w:val="cs-CZ"/>
        </w:rPr>
        <w:t>o</w:t>
      </w:r>
      <w:r w:rsidR="00F6281C" w:rsidRPr="00B91BDD">
        <w:rPr>
          <w:rFonts w:ascii="Calibri" w:eastAsia="Calibri" w:hAnsi="Calibri" w:cs="Calibri"/>
          <w:bCs/>
          <w:i/>
          <w:lang w:val="cs-CZ"/>
        </w:rPr>
        <w:t xml:space="preserve"> dramatick</w:t>
      </w:r>
      <w:r w:rsidR="00285BB6" w:rsidRPr="00B91BDD">
        <w:rPr>
          <w:rFonts w:ascii="Calibri" w:eastAsia="Calibri" w:hAnsi="Calibri" w:cs="Calibri"/>
          <w:bCs/>
          <w:i/>
          <w:lang w:val="cs-CZ"/>
        </w:rPr>
        <w:t xml:space="preserve">é snížení </w:t>
      </w:r>
      <w:r w:rsidR="00F6281C" w:rsidRPr="00B91BDD">
        <w:rPr>
          <w:rFonts w:ascii="Calibri" w:eastAsia="Calibri" w:hAnsi="Calibri" w:cs="Calibri"/>
          <w:bCs/>
          <w:i/>
          <w:lang w:val="cs-CZ"/>
        </w:rPr>
        <w:t>ob</w:t>
      </w:r>
      <w:r w:rsidR="00285BB6" w:rsidRPr="00B91BDD">
        <w:rPr>
          <w:rFonts w:ascii="Calibri" w:eastAsia="Calibri" w:hAnsi="Calibri" w:cs="Calibri"/>
          <w:bCs/>
          <w:i/>
          <w:lang w:val="cs-CZ"/>
        </w:rPr>
        <w:t>ratů cestovních kanceláří, které</w:t>
      </w:r>
      <w:r w:rsidR="00F6281C" w:rsidRPr="00B91BDD">
        <w:rPr>
          <w:rFonts w:ascii="Calibri" w:eastAsia="Calibri" w:hAnsi="Calibri" w:cs="Calibri"/>
          <w:bCs/>
          <w:i/>
          <w:lang w:val="cs-CZ"/>
        </w:rPr>
        <w:t xml:space="preserve"> se propadl</w:t>
      </w:r>
      <w:r w:rsidR="00285BB6" w:rsidRPr="00B91BDD">
        <w:rPr>
          <w:rFonts w:ascii="Calibri" w:eastAsia="Calibri" w:hAnsi="Calibri" w:cs="Calibri"/>
          <w:bCs/>
          <w:i/>
          <w:lang w:val="cs-CZ"/>
        </w:rPr>
        <w:t>y</w:t>
      </w:r>
      <w:r w:rsidR="00F6281C" w:rsidRPr="00B91BDD">
        <w:rPr>
          <w:rFonts w:ascii="Calibri" w:eastAsia="Calibri" w:hAnsi="Calibri" w:cs="Calibri"/>
          <w:bCs/>
          <w:i/>
          <w:lang w:val="cs-CZ"/>
        </w:rPr>
        <w:t xml:space="preserve"> o</w:t>
      </w:r>
      <w:r w:rsidR="00DE6FB1">
        <w:rPr>
          <w:rFonts w:ascii="Calibri" w:eastAsia="Calibri" w:hAnsi="Calibri" w:cs="Calibri"/>
          <w:bCs/>
          <w:i/>
          <w:lang w:val="cs-CZ"/>
        </w:rPr>
        <w:t> </w:t>
      </w:r>
      <w:r w:rsidR="00F6281C" w:rsidRPr="00B91BDD">
        <w:rPr>
          <w:rFonts w:ascii="Calibri" w:eastAsia="Calibri" w:hAnsi="Calibri" w:cs="Calibri"/>
          <w:bCs/>
          <w:i/>
          <w:lang w:val="cs-CZ"/>
        </w:rPr>
        <w:t xml:space="preserve">68 %. Nicméně </w:t>
      </w:r>
      <w:r w:rsidR="00E142F4">
        <w:rPr>
          <w:rFonts w:ascii="Calibri" w:eastAsia="Calibri" w:hAnsi="Calibri" w:cs="Calibri"/>
          <w:bCs/>
          <w:i/>
          <w:lang w:val="cs-CZ"/>
        </w:rPr>
        <w:t xml:space="preserve">tento segment </w:t>
      </w:r>
      <w:r w:rsidR="00B52D8E">
        <w:rPr>
          <w:rFonts w:ascii="Calibri" w:eastAsia="Calibri" w:hAnsi="Calibri" w:cs="Calibri"/>
          <w:bCs/>
          <w:i/>
          <w:lang w:val="cs-CZ"/>
        </w:rPr>
        <w:t xml:space="preserve">příliš </w:t>
      </w:r>
      <w:r w:rsidR="00E142F4">
        <w:rPr>
          <w:rFonts w:ascii="Calibri" w:eastAsia="Calibri" w:hAnsi="Calibri" w:cs="Calibri"/>
          <w:bCs/>
          <w:i/>
          <w:lang w:val="cs-CZ"/>
        </w:rPr>
        <w:t>nepodpořily ani obchody, které byly otevřeny bez omezení</w:t>
      </w:r>
      <w:r w:rsidR="00F6281C" w:rsidRPr="00B91BDD">
        <w:rPr>
          <w:rFonts w:ascii="Calibri" w:eastAsia="Calibri" w:hAnsi="Calibri" w:cs="Calibri"/>
          <w:bCs/>
          <w:i/>
          <w:lang w:val="cs-CZ"/>
        </w:rPr>
        <w:t xml:space="preserve">. </w:t>
      </w:r>
      <w:r w:rsidR="00F710DC">
        <w:rPr>
          <w:rFonts w:ascii="Calibri" w:eastAsia="Calibri" w:hAnsi="Calibri" w:cs="Calibri"/>
          <w:bCs/>
          <w:i/>
          <w:lang w:val="cs-CZ"/>
        </w:rPr>
        <w:t>Obchodům</w:t>
      </w:r>
      <w:r w:rsidR="00285BB6" w:rsidRPr="00B91BDD">
        <w:rPr>
          <w:rFonts w:ascii="Calibri" w:eastAsia="Calibri" w:hAnsi="Calibri" w:cs="Calibri"/>
          <w:bCs/>
          <w:i/>
          <w:lang w:val="cs-CZ"/>
        </w:rPr>
        <w:t xml:space="preserve"> s krmivem pro zvířata a chovatelskými potřebami klesly </w:t>
      </w:r>
      <w:r w:rsidR="00630185">
        <w:rPr>
          <w:rFonts w:ascii="Calibri" w:eastAsia="Calibri" w:hAnsi="Calibri" w:cs="Calibri"/>
          <w:bCs/>
          <w:i/>
          <w:lang w:val="cs-CZ"/>
        </w:rPr>
        <w:t>obraty</w:t>
      </w:r>
      <w:r w:rsidR="00630185" w:rsidRPr="00B91BDD">
        <w:rPr>
          <w:rFonts w:ascii="Calibri" w:eastAsia="Calibri" w:hAnsi="Calibri" w:cs="Calibri"/>
          <w:bCs/>
          <w:i/>
          <w:lang w:val="cs-CZ"/>
        </w:rPr>
        <w:t xml:space="preserve"> </w:t>
      </w:r>
      <w:r w:rsidR="00F6281C" w:rsidRPr="00B91BDD">
        <w:rPr>
          <w:rFonts w:ascii="Calibri" w:eastAsia="Calibri" w:hAnsi="Calibri" w:cs="Calibri"/>
          <w:bCs/>
          <w:i/>
          <w:lang w:val="cs-CZ"/>
        </w:rPr>
        <w:t xml:space="preserve">o 10 %, </w:t>
      </w:r>
      <w:r w:rsidR="00E142F4">
        <w:rPr>
          <w:rFonts w:ascii="Calibri" w:eastAsia="Calibri" w:hAnsi="Calibri" w:cs="Calibri"/>
          <w:bCs/>
          <w:i/>
          <w:lang w:val="cs-CZ"/>
        </w:rPr>
        <w:t>podsegment ostatních služeb, kde jsou zahrnut</w:t>
      </w:r>
      <w:r w:rsidR="00D07CBF">
        <w:rPr>
          <w:rFonts w:ascii="Calibri" w:eastAsia="Calibri" w:hAnsi="Calibri" w:cs="Calibri"/>
          <w:bCs/>
          <w:i/>
          <w:lang w:val="cs-CZ"/>
        </w:rPr>
        <w:t>a</w:t>
      </w:r>
      <w:r w:rsidR="00E142F4">
        <w:rPr>
          <w:rFonts w:ascii="Calibri" w:eastAsia="Calibri" w:hAnsi="Calibri" w:cs="Calibri"/>
          <w:bCs/>
          <w:i/>
          <w:lang w:val="cs-CZ"/>
        </w:rPr>
        <w:t xml:space="preserve"> </w:t>
      </w:r>
      <w:r w:rsidR="00F6281C" w:rsidRPr="00B91BDD">
        <w:rPr>
          <w:rFonts w:ascii="Calibri" w:eastAsia="Calibri" w:hAnsi="Calibri" w:cs="Calibri"/>
          <w:bCs/>
          <w:i/>
          <w:lang w:val="cs-CZ"/>
        </w:rPr>
        <w:t xml:space="preserve">květinářství či </w:t>
      </w:r>
      <w:r w:rsidR="00285BB6" w:rsidRPr="00B91BDD">
        <w:rPr>
          <w:rFonts w:ascii="Calibri" w:eastAsia="Calibri" w:hAnsi="Calibri" w:cs="Calibri"/>
          <w:bCs/>
          <w:i/>
          <w:lang w:val="cs-CZ"/>
        </w:rPr>
        <w:t>trafik</w:t>
      </w:r>
      <w:r w:rsidR="00E142F4">
        <w:rPr>
          <w:rFonts w:ascii="Calibri" w:eastAsia="Calibri" w:hAnsi="Calibri" w:cs="Calibri"/>
          <w:bCs/>
          <w:i/>
          <w:lang w:val="cs-CZ"/>
        </w:rPr>
        <w:t>y,</w:t>
      </w:r>
      <w:r w:rsidR="00285BB6" w:rsidRPr="00B91BDD">
        <w:rPr>
          <w:rFonts w:ascii="Calibri" w:eastAsia="Calibri" w:hAnsi="Calibri" w:cs="Calibri"/>
          <w:bCs/>
          <w:i/>
          <w:lang w:val="cs-CZ"/>
        </w:rPr>
        <w:t xml:space="preserve"> </w:t>
      </w:r>
      <w:r w:rsidR="00F6281C" w:rsidRPr="00B91BDD">
        <w:rPr>
          <w:rFonts w:ascii="Calibri" w:eastAsia="Calibri" w:hAnsi="Calibri" w:cs="Calibri"/>
          <w:bCs/>
          <w:i/>
          <w:lang w:val="cs-CZ"/>
        </w:rPr>
        <w:t>o 6 %.</w:t>
      </w:r>
      <w:r w:rsidR="000E06C7" w:rsidRPr="00B91BDD">
        <w:rPr>
          <w:rFonts w:ascii="Calibri" w:eastAsia="Calibri" w:hAnsi="Calibri" w:cs="Calibri"/>
          <w:bCs/>
          <w:i/>
          <w:lang w:val="cs-CZ"/>
        </w:rPr>
        <w:t xml:space="preserve"> </w:t>
      </w:r>
      <w:r w:rsidR="002C3022" w:rsidRPr="00B91BDD">
        <w:rPr>
          <w:rFonts w:ascii="Calibri" w:eastAsia="Calibri" w:hAnsi="Calibri" w:cs="Calibri"/>
          <w:bCs/>
          <w:i/>
          <w:lang w:val="cs-CZ"/>
        </w:rPr>
        <w:t>O něco lepšího výsledku dosáhl specializovaný maloobchod, který</w:t>
      </w:r>
      <w:r w:rsidR="00DE6FB1">
        <w:rPr>
          <w:rFonts w:ascii="Calibri" w:eastAsia="Calibri" w:hAnsi="Calibri" w:cs="Calibri"/>
          <w:bCs/>
          <w:i/>
          <w:lang w:val="cs-CZ"/>
        </w:rPr>
        <w:t> </w:t>
      </w:r>
      <w:r w:rsidR="002C3022" w:rsidRPr="00B91BDD">
        <w:rPr>
          <w:rFonts w:ascii="Calibri" w:eastAsia="Calibri" w:hAnsi="Calibri" w:cs="Calibri"/>
          <w:bCs/>
          <w:i/>
          <w:lang w:val="cs-CZ"/>
        </w:rPr>
        <w:t xml:space="preserve">byl vloni částečně otevřen. I přesto se </w:t>
      </w:r>
      <w:r w:rsidR="00285BB6" w:rsidRPr="00B91BDD">
        <w:rPr>
          <w:rFonts w:ascii="Calibri" w:eastAsia="Calibri" w:hAnsi="Calibri" w:cs="Calibri"/>
          <w:bCs/>
          <w:i/>
          <w:lang w:val="cs-CZ"/>
        </w:rPr>
        <w:t xml:space="preserve">jeho </w:t>
      </w:r>
      <w:r w:rsidR="002C3022" w:rsidRPr="00B91BDD">
        <w:rPr>
          <w:rFonts w:ascii="Calibri" w:eastAsia="Calibri" w:hAnsi="Calibri" w:cs="Calibri"/>
          <w:bCs/>
          <w:i/>
          <w:lang w:val="cs-CZ"/>
        </w:rPr>
        <w:t>průměrný obrat meziročně snížil o 15 %. Optiky a</w:t>
      </w:r>
      <w:r w:rsidR="00DE6FB1">
        <w:rPr>
          <w:rFonts w:ascii="Calibri" w:eastAsia="Calibri" w:hAnsi="Calibri" w:cs="Calibri"/>
          <w:bCs/>
          <w:i/>
          <w:lang w:val="cs-CZ"/>
        </w:rPr>
        <w:t> </w:t>
      </w:r>
      <w:r w:rsidR="002C3022" w:rsidRPr="00B91BDD">
        <w:rPr>
          <w:rFonts w:ascii="Calibri" w:eastAsia="Calibri" w:hAnsi="Calibri" w:cs="Calibri"/>
          <w:bCs/>
          <w:i/>
          <w:lang w:val="cs-CZ"/>
        </w:rPr>
        <w:t>lékárny byly v provozu bez omezení a jako jediné zaznamenaly růst</w:t>
      </w:r>
      <w:r w:rsidR="00285BB6" w:rsidRPr="00B91BDD">
        <w:rPr>
          <w:rFonts w:ascii="Calibri" w:eastAsia="Calibri" w:hAnsi="Calibri" w:cs="Calibri"/>
          <w:bCs/>
          <w:i/>
          <w:lang w:val="cs-CZ"/>
        </w:rPr>
        <w:t xml:space="preserve"> ve výši</w:t>
      </w:r>
      <w:r w:rsidR="002C3022" w:rsidRPr="00B91BDD">
        <w:rPr>
          <w:rFonts w:ascii="Calibri" w:eastAsia="Calibri" w:hAnsi="Calibri" w:cs="Calibri"/>
          <w:bCs/>
          <w:i/>
          <w:lang w:val="cs-CZ"/>
        </w:rPr>
        <w:t xml:space="preserve"> 1,8 %. Naopak obchod</w:t>
      </w:r>
      <w:r w:rsidR="00732C64">
        <w:rPr>
          <w:rFonts w:ascii="Calibri" w:eastAsia="Calibri" w:hAnsi="Calibri" w:cs="Calibri"/>
          <w:bCs/>
          <w:i/>
          <w:lang w:val="cs-CZ"/>
        </w:rPr>
        <w:t>y z kategorie zdraví</w:t>
      </w:r>
      <w:r w:rsidR="00E142F4">
        <w:rPr>
          <w:rFonts w:ascii="Calibri" w:eastAsia="Calibri" w:hAnsi="Calibri" w:cs="Calibri"/>
          <w:bCs/>
          <w:i/>
          <w:lang w:val="cs-CZ"/>
        </w:rPr>
        <w:t>,</w:t>
      </w:r>
      <w:r w:rsidR="00732C64">
        <w:rPr>
          <w:rFonts w:ascii="Calibri" w:eastAsia="Calibri" w:hAnsi="Calibri" w:cs="Calibri"/>
          <w:bCs/>
          <w:i/>
          <w:lang w:val="cs-CZ"/>
        </w:rPr>
        <w:t xml:space="preserve"> krása </w:t>
      </w:r>
      <w:r w:rsidR="00E142F4">
        <w:rPr>
          <w:rFonts w:ascii="Calibri" w:eastAsia="Calibri" w:hAnsi="Calibri" w:cs="Calibri"/>
          <w:bCs/>
          <w:i/>
          <w:lang w:val="cs-CZ"/>
        </w:rPr>
        <w:t>a</w:t>
      </w:r>
      <w:r w:rsidR="002C3022" w:rsidRPr="00B91BDD">
        <w:rPr>
          <w:rFonts w:ascii="Calibri" w:eastAsia="Calibri" w:hAnsi="Calibri" w:cs="Calibri"/>
          <w:bCs/>
          <w:i/>
          <w:lang w:val="cs-CZ"/>
        </w:rPr>
        <w:t xml:space="preserve"> parfumeri</w:t>
      </w:r>
      <w:r w:rsidR="00D07CBF">
        <w:rPr>
          <w:rFonts w:ascii="Calibri" w:eastAsia="Calibri" w:hAnsi="Calibri" w:cs="Calibri"/>
          <w:bCs/>
          <w:i/>
          <w:lang w:val="cs-CZ"/>
        </w:rPr>
        <w:t>e</w:t>
      </w:r>
      <w:r w:rsidR="00E142F4">
        <w:rPr>
          <w:rFonts w:ascii="Calibri" w:eastAsia="Calibri" w:hAnsi="Calibri" w:cs="Calibri"/>
          <w:bCs/>
          <w:i/>
          <w:lang w:val="cs-CZ"/>
        </w:rPr>
        <w:t>, ve které měly otevřeno spíše jen drogerie,</w:t>
      </w:r>
      <w:r w:rsidR="002C3022" w:rsidRPr="00B91BDD">
        <w:rPr>
          <w:rFonts w:ascii="Calibri" w:eastAsia="Calibri" w:hAnsi="Calibri" w:cs="Calibri"/>
          <w:bCs/>
          <w:i/>
          <w:lang w:val="cs-CZ"/>
        </w:rPr>
        <w:t xml:space="preserve"> se propadly o 13 %. Prodejny mobilních operátorů z</w:t>
      </w:r>
      <w:r w:rsidR="00B830B7">
        <w:rPr>
          <w:rFonts w:ascii="Calibri" w:eastAsia="Calibri" w:hAnsi="Calibri" w:cs="Calibri"/>
          <w:bCs/>
          <w:i/>
          <w:lang w:val="cs-CZ"/>
        </w:rPr>
        <w:t>aznamenaly pokles obratů o 18 %. O</w:t>
      </w:r>
      <w:r w:rsidR="002C3022" w:rsidRPr="00B91BDD">
        <w:rPr>
          <w:rFonts w:ascii="Calibri" w:eastAsia="Calibri" w:hAnsi="Calibri" w:cs="Calibri"/>
          <w:bCs/>
          <w:i/>
          <w:lang w:val="cs-CZ"/>
        </w:rPr>
        <w:t xml:space="preserve">statní kategorie </w:t>
      </w:r>
      <w:r w:rsidRPr="00B91BDD">
        <w:rPr>
          <w:rFonts w:ascii="Calibri" w:eastAsia="Calibri" w:hAnsi="Calibri" w:cs="Calibri"/>
          <w:bCs/>
          <w:i/>
          <w:lang w:val="cs-CZ"/>
        </w:rPr>
        <w:t>bojovaly s cca 30% propadem,“</w:t>
      </w:r>
      <w:r>
        <w:rPr>
          <w:rFonts w:ascii="Calibri" w:eastAsia="Calibri" w:hAnsi="Calibri" w:cs="Calibri"/>
          <w:bCs/>
          <w:lang w:val="cs-CZ"/>
        </w:rPr>
        <w:t xml:space="preserve"> uvádí </w:t>
      </w:r>
      <w:r w:rsidRPr="00B91BDD">
        <w:rPr>
          <w:rFonts w:ascii="Calibri" w:eastAsia="Calibri" w:hAnsi="Calibri" w:cs="Calibri"/>
          <w:b/>
          <w:bCs/>
          <w:lang w:val="cs-CZ"/>
        </w:rPr>
        <w:t xml:space="preserve">Klára </w:t>
      </w:r>
      <w:r w:rsidRPr="00300A1A">
        <w:rPr>
          <w:rFonts w:ascii="Calibri" w:eastAsia="Calibri" w:hAnsi="Calibri" w:cs="Calibri"/>
          <w:b/>
          <w:bCs/>
          <w:lang w:val="cs-CZ"/>
        </w:rPr>
        <w:t xml:space="preserve">Bejblová, </w:t>
      </w:r>
      <w:r w:rsidR="00300A1A" w:rsidRPr="00300A1A">
        <w:rPr>
          <w:rFonts w:ascii="Calibri" w:eastAsia="Calibri" w:hAnsi="Calibri" w:cs="Calibri"/>
          <w:b/>
          <w:bCs/>
          <w:lang w:val="cs-CZ"/>
        </w:rPr>
        <w:t xml:space="preserve">specialistka CBRE na </w:t>
      </w:r>
      <w:r w:rsidR="00AF7F10">
        <w:rPr>
          <w:rFonts w:ascii="Calibri" w:eastAsia="Calibri" w:hAnsi="Calibri" w:cs="Calibri"/>
          <w:b/>
          <w:bCs/>
          <w:lang w:val="cs-CZ"/>
        </w:rPr>
        <w:t xml:space="preserve">průzkum trhu </w:t>
      </w:r>
      <w:r w:rsidR="00300A1A" w:rsidRPr="00300A1A">
        <w:rPr>
          <w:rFonts w:ascii="Calibri" w:eastAsia="Calibri" w:hAnsi="Calibri" w:cs="Calibri"/>
          <w:b/>
          <w:bCs/>
          <w:lang w:val="cs-CZ"/>
        </w:rPr>
        <w:t>a poradenství v oblasti maloobchodu pro</w:t>
      </w:r>
      <w:r w:rsidR="00DE6FB1">
        <w:rPr>
          <w:rFonts w:ascii="Calibri" w:eastAsia="Calibri" w:hAnsi="Calibri" w:cs="Calibri"/>
          <w:b/>
          <w:bCs/>
          <w:lang w:val="cs-CZ"/>
        </w:rPr>
        <w:t> </w:t>
      </w:r>
      <w:r w:rsidR="00300A1A" w:rsidRPr="00300A1A">
        <w:rPr>
          <w:rFonts w:ascii="Calibri" w:eastAsia="Calibri" w:hAnsi="Calibri" w:cs="Calibri"/>
          <w:b/>
          <w:bCs/>
          <w:lang w:val="cs-CZ"/>
        </w:rPr>
        <w:t>Českou republiku a region</w:t>
      </w:r>
      <w:r w:rsidR="008337FF">
        <w:rPr>
          <w:rFonts w:ascii="Calibri" w:eastAsia="Calibri" w:hAnsi="Calibri" w:cs="Calibri"/>
          <w:b/>
          <w:bCs/>
          <w:lang w:val="cs-CZ"/>
        </w:rPr>
        <w:t>u střední a východní Evropy</w:t>
      </w:r>
      <w:r w:rsidR="00300A1A">
        <w:rPr>
          <w:rFonts w:ascii="Calibri" w:eastAsia="Calibri" w:hAnsi="Calibri" w:cs="Calibri"/>
          <w:bCs/>
          <w:lang w:val="cs-CZ"/>
        </w:rPr>
        <w:t>.</w:t>
      </w:r>
    </w:p>
    <w:p w14:paraId="2BB9A5CB" w14:textId="77777777" w:rsidR="00300A1A" w:rsidRDefault="00300A1A" w:rsidP="000C5660">
      <w:pPr>
        <w:jc w:val="both"/>
        <w:rPr>
          <w:rFonts w:ascii="Calibri" w:eastAsia="Calibri" w:hAnsi="Calibri" w:cs="Calibri"/>
          <w:bCs/>
          <w:lang w:val="cs-CZ"/>
        </w:rPr>
      </w:pPr>
    </w:p>
    <w:p w14:paraId="63BDF8D8" w14:textId="2995504E" w:rsidR="00B85EEA" w:rsidRPr="00B85EEA" w:rsidRDefault="00E549A3" w:rsidP="000C5660">
      <w:pPr>
        <w:jc w:val="both"/>
        <w:rPr>
          <w:rFonts w:ascii="Calibri" w:eastAsia="Calibri" w:hAnsi="Calibri" w:cs="Calibri"/>
          <w:b/>
          <w:bCs/>
          <w:lang w:val="cs-CZ"/>
        </w:rPr>
      </w:pPr>
      <w:r>
        <w:rPr>
          <w:rFonts w:ascii="Calibri" w:eastAsia="Calibri" w:hAnsi="Calibri" w:cs="Calibri"/>
          <w:b/>
          <w:bCs/>
          <w:lang w:val="cs-CZ"/>
        </w:rPr>
        <w:t>Průměrná výše nájemného vloni meziročně klesla o 0,9 %</w:t>
      </w:r>
    </w:p>
    <w:p w14:paraId="50B36FED" w14:textId="780D326F" w:rsidR="00CF3E59" w:rsidRPr="00E549A3" w:rsidRDefault="00CA4433" w:rsidP="000C5660">
      <w:pPr>
        <w:jc w:val="both"/>
        <w:rPr>
          <w:rFonts w:ascii="Calibri" w:eastAsia="Calibri" w:hAnsi="Calibri" w:cs="Calibri"/>
          <w:bCs/>
          <w:lang w:val="cs-CZ"/>
        </w:rPr>
      </w:pPr>
      <w:r w:rsidRPr="00CA4433">
        <w:rPr>
          <w:rFonts w:ascii="Calibri" w:eastAsia="Calibri" w:hAnsi="Calibri" w:cs="Calibri"/>
          <w:bCs/>
          <w:lang w:val="cs-CZ"/>
        </w:rPr>
        <w:t>V roce 2020 poprvé po čtyřech letech</w:t>
      </w:r>
      <w:r w:rsidR="00B91BDD">
        <w:rPr>
          <w:rFonts w:ascii="Calibri" w:eastAsia="Calibri" w:hAnsi="Calibri" w:cs="Calibri"/>
          <w:bCs/>
          <w:lang w:val="cs-CZ"/>
        </w:rPr>
        <w:t xml:space="preserve"> došlo</w:t>
      </w:r>
      <w:r w:rsidRPr="00CA4433">
        <w:rPr>
          <w:rFonts w:ascii="Calibri" w:eastAsia="Calibri" w:hAnsi="Calibri" w:cs="Calibri"/>
          <w:bCs/>
          <w:lang w:val="cs-CZ"/>
        </w:rPr>
        <w:t xml:space="preserve"> k poklesu průměrné výše nájemného</w:t>
      </w:r>
      <w:r w:rsidR="00E549A3">
        <w:rPr>
          <w:rFonts w:ascii="Calibri" w:eastAsia="Calibri" w:hAnsi="Calibri" w:cs="Calibri"/>
          <w:bCs/>
          <w:lang w:val="cs-CZ"/>
        </w:rPr>
        <w:t xml:space="preserve">. </w:t>
      </w:r>
      <w:r w:rsidR="002B1334">
        <w:rPr>
          <w:rFonts w:ascii="Calibri" w:eastAsia="Calibri" w:hAnsi="Calibri" w:cs="Calibri"/>
          <w:bCs/>
          <w:lang w:val="cs-CZ"/>
        </w:rPr>
        <w:t>Ovšem s</w:t>
      </w:r>
      <w:r w:rsidR="00B91BDD">
        <w:rPr>
          <w:rFonts w:ascii="Calibri" w:eastAsia="Calibri" w:hAnsi="Calibri" w:cs="Calibri"/>
          <w:bCs/>
          <w:lang w:val="cs-CZ"/>
        </w:rPr>
        <w:t>nížení o 0,9 % nepředstavuje v</w:t>
      </w:r>
      <w:r w:rsidRPr="00CA4433">
        <w:rPr>
          <w:rFonts w:ascii="Calibri" w:eastAsia="Calibri" w:hAnsi="Calibri" w:cs="Calibri"/>
          <w:bCs/>
          <w:lang w:val="cs-CZ"/>
        </w:rPr>
        <w:t>e srovnání s poklesem průměrných obratů nic dramatického</w:t>
      </w:r>
      <w:r w:rsidR="00B91BDD">
        <w:rPr>
          <w:rFonts w:ascii="Calibri" w:eastAsia="Calibri" w:hAnsi="Calibri" w:cs="Calibri"/>
          <w:bCs/>
          <w:lang w:val="cs-CZ"/>
        </w:rPr>
        <w:t>. P</w:t>
      </w:r>
      <w:r w:rsidR="00BC12F4">
        <w:rPr>
          <w:rFonts w:ascii="Calibri" w:eastAsia="Calibri" w:hAnsi="Calibri" w:cs="Calibri"/>
          <w:bCs/>
          <w:lang w:val="cs-CZ"/>
        </w:rPr>
        <w:t>řispěly k</w:t>
      </w:r>
      <w:r w:rsidR="00DE6FB1">
        <w:rPr>
          <w:rFonts w:ascii="Calibri" w:eastAsia="Calibri" w:hAnsi="Calibri" w:cs="Calibri"/>
          <w:bCs/>
          <w:lang w:val="cs-CZ"/>
        </w:rPr>
        <w:t> </w:t>
      </w:r>
      <w:r w:rsidR="00B91BDD">
        <w:rPr>
          <w:rFonts w:ascii="Calibri" w:eastAsia="Calibri" w:hAnsi="Calibri" w:cs="Calibri"/>
          <w:bCs/>
          <w:lang w:val="cs-CZ"/>
        </w:rPr>
        <w:t>tomu vládní kompenzační programy i</w:t>
      </w:r>
      <w:r w:rsidRPr="00CA4433">
        <w:rPr>
          <w:rFonts w:ascii="Calibri" w:eastAsia="Calibri" w:hAnsi="Calibri" w:cs="Calibri"/>
          <w:bCs/>
          <w:lang w:val="cs-CZ"/>
        </w:rPr>
        <w:t xml:space="preserve"> úlevy ze strany majitelů OC. </w:t>
      </w:r>
      <w:r w:rsidR="00DF5F06" w:rsidRPr="007A5758">
        <w:rPr>
          <w:rFonts w:ascii="Calibri" w:eastAsia="Calibri" w:hAnsi="Calibri" w:cs="Calibri"/>
          <w:bCs/>
          <w:lang w:val="cs-CZ"/>
        </w:rPr>
        <w:t xml:space="preserve">Pobídky, které v minulém roce poskytovali majitelé </w:t>
      </w:r>
      <w:r w:rsidR="00DF5F06">
        <w:rPr>
          <w:rFonts w:ascii="Calibri" w:eastAsia="Calibri" w:hAnsi="Calibri" w:cs="Calibri"/>
          <w:bCs/>
          <w:lang w:val="cs-CZ"/>
        </w:rPr>
        <w:t xml:space="preserve">center, </w:t>
      </w:r>
      <w:r w:rsidR="00DF5F06" w:rsidRPr="007A5758">
        <w:rPr>
          <w:rFonts w:ascii="Calibri" w:eastAsia="Calibri" w:hAnsi="Calibri" w:cs="Calibri"/>
          <w:bCs/>
          <w:lang w:val="cs-CZ"/>
        </w:rPr>
        <w:t xml:space="preserve">byly především ve formě nájemních prázdnin, a to zpravidla výměnou za prodloužení nájemní smlouvy. </w:t>
      </w:r>
      <w:r w:rsidR="00DF5F06">
        <w:rPr>
          <w:rFonts w:ascii="Calibri" w:eastAsia="Calibri" w:hAnsi="Calibri" w:cs="Calibri"/>
          <w:bCs/>
          <w:lang w:val="cs-CZ"/>
        </w:rPr>
        <w:t>Tento přístup vlastníkům umožňoval</w:t>
      </w:r>
      <w:r w:rsidR="00DF5F06" w:rsidRPr="007A5758">
        <w:rPr>
          <w:rFonts w:ascii="Calibri" w:eastAsia="Calibri" w:hAnsi="Calibri" w:cs="Calibri"/>
          <w:bCs/>
          <w:lang w:val="cs-CZ"/>
        </w:rPr>
        <w:t xml:space="preserve"> generovat alespoň </w:t>
      </w:r>
      <w:r w:rsidR="00DF5F06">
        <w:rPr>
          <w:rFonts w:ascii="Calibri" w:eastAsia="Calibri" w:hAnsi="Calibri" w:cs="Calibri"/>
          <w:bCs/>
          <w:lang w:val="cs-CZ"/>
        </w:rPr>
        <w:t xml:space="preserve">nezbytné příjmy pro zachování plynulého </w:t>
      </w:r>
      <w:r w:rsidR="002B1334">
        <w:rPr>
          <w:rFonts w:ascii="Calibri" w:eastAsia="Calibri" w:hAnsi="Calibri" w:cs="Calibri"/>
          <w:bCs/>
          <w:lang w:val="cs-CZ"/>
        </w:rPr>
        <w:t>chodu center</w:t>
      </w:r>
      <w:r w:rsidR="00DF5F06" w:rsidRPr="007A5758">
        <w:rPr>
          <w:rFonts w:ascii="Calibri" w:eastAsia="Calibri" w:hAnsi="Calibri" w:cs="Calibri"/>
          <w:bCs/>
          <w:lang w:val="cs-CZ"/>
        </w:rPr>
        <w:t>.</w:t>
      </w:r>
      <w:r w:rsidR="00DF5F06">
        <w:rPr>
          <w:rFonts w:ascii="Calibri" w:eastAsia="Calibri" w:hAnsi="Calibri" w:cs="Calibri"/>
          <w:bCs/>
          <w:lang w:val="cs-CZ"/>
        </w:rPr>
        <w:t xml:space="preserve"> Na h</w:t>
      </w:r>
      <w:r w:rsidR="00BC12F4">
        <w:rPr>
          <w:rFonts w:ascii="Calibri" w:eastAsia="Calibri" w:hAnsi="Calibri" w:cs="Calibri"/>
          <w:bCs/>
          <w:lang w:val="cs-CZ"/>
        </w:rPr>
        <w:t xml:space="preserve">orší výsledek </w:t>
      </w:r>
      <w:r w:rsidR="00DF5F06">
        <w:rPr>
          <w:rFonts w:ascii="Calibri" w:eastAsia="Calibri" w:hAnsi="Calibri" w:cs="Calibri"/>
          <w:bCs/>
          <w:lang w:val="cs-CZ"/>
        </w:rPr>
        <w:t xml:space="preserve">nicméně </w:t>
      </w:r>
      <w:r w:rsidR="00BC12F4">
        <w:rPr>
          <w:rFonts w:ascii="Calibri" w:eastAsia="Calibri" w:hAnsi="Calibri" w:cs="Calibri"/>
          <w:bCs/>
          <w:lang w:val="cs-CZ"/>
        </w:rPr>
        <w:t>ukazuje</w:t>
      </w:r>
      <w:r w:rsidRPr="00E549A3">
        <w:rPr>
          <w:rFonts w:ascii="Calibri" w:eastAsia="Calibri" w:hAnsi="Calibri" w:cs="Calibri"/>
          <w:bCs/>
          <w:lang w:val="cs-CZ"/>
        </w:rPr>
        <w:t xml:space="preserve"> </w:t>
      </w:r>
      <w:r w:rsidR="00B91BDD" w:rsidRPr="00E549A3">
        <w:rPr>
          <w:rFonts w:ascii="Calibri" w:eastAsia="Calibri" w:hAnsi="Calibri" w:cs="Calibri"/>
          <w:bCs/>
          <w:lang w:val="cs-CZ"/>
        </w:rPr>
        <w:lastRenderedPageBreak/>
        <w:t>průměrná výše nájmu nově pronajatých prostor</w:t>
      </w:r>
      <w:r w:rsidR="00B744C6">
        <w:rPr>
          <w:rFonts w:ascii="Calibri" w:eastAsia="Calibri" w:hAnsi="Calibri" w:cs="Calibri"/>
          <w:bCs/>
          <w:lang w:val="cs-CZ"/>
        </w:rPr>
        <w:t>. Ta</w:t>
      </w:r>
      <w:r w:rsidR="00B91BDD" w:rsidRPr="00E549A3">
        <w:rPr>
          <w:rFonts w:ascii="Calibri" w:eastAsia="Calibri" w:hAnsi="Calibri" w:cs="Calibri"/>
          <w:bCs/>
          <w:lang w:val="cs-CZ"/>
        </w:rPr>
        <w:t xml:space="preserve"> </w:t>
      </w:r>
      <w:r w:rsidR="00B91BDD">
        <w:rPr>
          <w:rFonts w:ascii="Calibri" w:eastAsia="Calibri" w:hAnsi="Calibri" w:cs="Calibri"/>
          <w:bCs/>
          <w:lang w:val="cs-CZ"/>
        </w:rPr>
        <w:t xml:space="preserve">se </w:t>
      </w:r>
      <w:r w:rsidRPr="00E549A3">
        <w:rPr>
          <w:rFonts w:ascii="Calibri" w:eastAsia="Calibri" w:hAnsi="Calibri" w:cs="Calibri"/>
          <w:bCs/>
          <w:lang w:val="cs-CZ"/>
        </w:rPr>
        <w:t>p</w:t>
      </w:r>
      <w:r w:rsidR="00B91BDD">
        <w:rPr>
          <w:rFonts w:ascii="Calibri" w:eastAsia="Calibri" w:hAnsi="Calibri" w:cs="Calibri"/>
          <w:bCs/>
          <w:lang w:val="cs-CZ"/>
        </w:rPr>
        <w:t>ři</w:t>
      </w:r>
      <w:r w:rsidRPr="00E549A3">
        <w:rPr>
          <w:rFonts w:ascii="Calibri" w:eastAsia="Calibri" w:hAnsi="Calibri" w:cs="Calibri"/>
          <w:bCs/>
          <w:lang w:val="cs-CZ"/>
        </w:rPr>
        <w:t xml:space="preserve"> zohlednění indexační úrovně, která</w:t>
      </w:r>
      <w:r w:rsidR="00DE6FB1">
        <w:rPr>
          <w:rFonts w:ascii="Calibri" w:eastAsia="Calibri" w:hAnsi="Calibri" w:cs="Calibri"/>
          <w:bCs/>
          <w:lang w:val="cs-CZ"/>
        </w:rPr>
        <w:t> </w:t>
      </w:r>
      <w:r w:rsidRPr="00E549A3">
        <w:rPr>
          <w:rFonts w:ascii="Calibri" w:eastAsia="Calibri" w:hAnsi="Calibri" w:cs="Calibri"/>
          <w:bCs/>
          <w:lang w:val="cs-CZ"/>
        </w:rPr>
        <w:t xml:space="preserve">podle ČSÚ činila 3,2 %, meziročně </w:t>
      </w:r>
      <w:r w:rsidR="00B91BDD">
        <w:rPr>
          <w:rFonts w:ascii="Calibri" w:eastAsia="Calibri" w:hAnsi="Calibri" w:cs="Calibri"/>
          <w:bCs/>
          <w:lang w:val="cs-CZ"/>
        </w:rPr>
        <w:t>propadla</w:t>
      </w:r>
      <w:r w:rsidRPr="00E549A3">
        <w:rPr>
          <w:rFonts w:ascii="Calibri" w:eastAsia="Calibri" w:hAnsi="Calibri" w:cs="Calibri"/>
          <w:bCs/>
          <w:lang w:val="cs-CZ"/>
        </w:rPr>
        <w:t xml:space="preserve"> o téměř 18 %.</w:t>
      </w:r>
    </w:p>
    <w:p w14:paraId="0ED9C578" w14:textId="77777777" w:rsidR="00CF3E59" w:rsidRPr="00C7297C" w:rsidRDefault="00CF3E59" w:rsidP="00C7297C">
      <w:pPr>
        <w:jc w:val="both"/>
        <w:rPr>
          <w:rFonts w:ascii="Calibri" w:eastAsia="Calibri" w:hAnsi="Calibri" w:cs="Calibri"/>
          <w:bCs/>
          <w:lang w:val="cs-CZ"/>
        </w:rPr>
      </w:pPr>
    </w:p>
    <w:p w14:paraId="047E3EE5" w14:textId="3EBDADD5" w:rsidR="00140206" w:rsidRDefault="00B744C6" w:rsidP="000C5660">
      <w:pPr>
        <w:jc w:val="both"/>
        <w:rPr>
          <w:rFonts w:ascii="Calibri" w:eastAsia="Calibri" w:hAnsi="Calibri" w:cs="Calibri"/>
          <w:bCs/>
          <w:lang w:val="cs-CZ"/>
        </w:rPr>
      </w:pPr>
      <w:r w:rsidRPr="00B744C6">
        <w:rPr>
          <w:rFonts w:ascii="Calibri" w:hAnsi="Calibri"/>
          <w:bCs/>
          <w:i/>
          <w:lang w:val="cs-CZ"/>
        </w:rPr>
        <w:t>„</w:t>
      </w:r>
      <w:r w:rsidR="00C7297C" w:rsidRPr="00B744C6">
        <w:rPr>
          <w:rFonts w:ascii="Calibri" w:hAnsi="Calibri"/>
          <w:bCs/>
          <w:i/>
          <w:lang w:val="cs-CZ"/>
        </w:rPr>
        <w:t xml:space="preserve">Situace se různila </w:t>
      </w:r>
      <w:r w:rsidRPr="00B744C6">
        <w:rPr>
          <w:rFonts w:ascii="Calibri" w:hAnsi="Calibri"/>
          <w:bCs/>
          <w:i/>
          <w:lang w:val="cs-CZ"/>
        </w:rPr>
        <w:t xml:space="preserve">sektor od sektoru, </w:t>
      </w:r>
      <w:r w:rsidR="00C7297C" w:rsidRPr="00B744C6">
        <w:rPr>
          <w:rFonts w:ascii="Calibri" w:hAnsi="Calibri"/>
          <w:bCs/>
          <w:i/>
          <w:lang w:val="cs-CZ"/>
        </w:rPr>
        <w:t xml:space="preserve">takže i </w:t>
      </w:r>
      <w:r>
        <w:rPr>
          <w:rFonts w:ascii="Calibri" w:hAnsi="Calibri"/>
          <w:bCs/>
          <w:i/>
          <w:lang w:val="cs-CZ"/>
        </w:rPr>
        <w:t>vloni</w:t>
      </w:r>
      <w:r w:rsidR="00C7297C" w:rsidRPr="00B744C6">
        <w:rPr>
          <w:rFonts w:ascii="Calibri" w:hAnsi="Calibri"/>
          <w:bCs/>
          <w:i/>
          <w:lang w:val="cs-CZ"/>
        </w:rPr>
        <w:t xml:space="preserve"> nájmy </w:t>
      </w:r>
      <w:r>
        <w:rPr>
          <w:rFonts w:ascii="Calibri" w:hAnsi="Calibri"/>
          <w:bCs/>
          <w:i/>
          <w:lang w:val="cs-CZ"/>
        </w:rPr>
        <w:t>u</w:t>
      </w:r>
      <w:r w:rsidR="00C7297C" w:rsidRPr="00B744C6">
        <w:rPr>
          <w:rFonts w:ascii="Calibri" w:hAnsi="Calibri"/>
          <w:bCs/>
          <w:i/>
          <w:lang w:val="cs-CZ"/>
        </w:rPr>
        <w:t xml:space="preserve"> některých kategorií rostly. Nejvyšší nárůst o 8,3 % zaznamenaly prodejny s elektronikou. Jejich nájmy stoupaly již třetí rok po sobě, </w:t>
      </w:r>
      <w:r w:rsidRPr="00B744C6">
        <w:rPr>
          <w:rFonts w:ascii="Calibri" w:hAnsi="Calibri"/>
          <w:bCs/>
          <w:i/>
          <w:lang w:val="cs-CZ"/>
        </w:rPr>
        <w:t>dohromady</w:t>
      </w:r>
      <w:r w:rsidR="00C7297C" w:rsidRPr="00B744C6">
        <w:rPr>
          <w:rFonts w:ascii="Calibri" w:hAnsi="Calibri"/>
          <w:bCs/>
          <w:i/>
          <w:lang w:val="cs-CZ"/>
        </w:rPr>
        <w:t xml:space="preserve"> o 18,7 %. Hlavním důvodem bylo především otevření menších obchodů se</w:t>
      </w:r>
      <w:r w:rsidR="00DE6FB1">
        <w:rPr>
          <w:rFonts w:ascii="Calibri" w:hAnsi="Calibri"/>
          <w:bCs/>
          <w:i/>
          <w:lang w:val="cs-CZ"/>
        </w:rPr>
        <w:t> </w:t>
      </w:r>
      <w:r w:rsidR="00C7297C" w:rsidRPr="00B744C6">
        <w:rPr>
          <w:rFonts w:ascii="Calibri" w:hAnsi="Calibri"/>
          <w:bCs/>
          <w:i/>
          <w:lang w:val="cs-CZ"/>
        </w:rPr>
        <w:t>specializovanou elektronikou typu iStores</w:t>
      </w:r>
      <w:r w:rsidR="00576716">
        <w:rPr>
          <w:rFonts w:ascii="Calibri" w:hAnsi="Calibri"/>
          <w:bCs/>
          <w:i/>
          <w:lang w:val="cs-CZ"/>
        </w:rPr>
        <w:t>, Xiaomi, Eta</w:t>
      </w:r>
      <w:r w:rsidR="00C7297C" w:rsidRPr="00B744C6">
        <w:rPr>
          <w:rFonts w:ascii="Calibri" w:hAnsi="Calibri"/>
          <w:bCs/>
          <w:i/>
          <w:lang w:val="cs-CZ"/>
        </w:rPr>
        <w:t xml:space="preserve"> apod. Navzdory faktu, že zboží z tohoto segmentu </w:t>
      </w:r>
      <w:r w:rsidR="008337FF">
        <w:rPr>
          <w:rFonts w:ascii="Calibri" w:hAnsi="Calibri"/>
          <w:bCs/>
          <w:i/>
          <w:lang w:val="cs-CZ"/>
        </w:rPr>
        <w:t xml:space="preserve">je nejvíce kupovaným zbožím </w:t>
      </w:r>
      <w:r w:rsidR="00C7297C" w:rsidRPr="00B744C6">
        <w:rPr>
          <w:rFonts w:ascii="Calibri" w:hAnsi="Calibri"/>
          <w:bCs/>
          <w:i/>
          <w:lang w:val="cs-CZ"/>
        </w:rPr>
        <w:t xml:space="preserve">online, si toto odvětví </w:t>
      </w:r>
      <w:r w:rsidRPr="00B744C6">
        <w:rPr>
          <w:rFonts w:ascii="Calibri" w:hAnsi="Calibri"/>
          <w:bCs/>
          <w:i/>
          <w:lang w:val="cs-CZ"/>
        </w:rPr>
        <w:t xml:space="preserve">našlo </w:t>
      </w:r>
      <w:r w:rsidR="00C7297C" w:rsidRPr="00B744C6">
        <w:rPr>
          <w:rFonts w:ascii="Calibri" w:hAnsi="Calibri"/>
          <w:bCs/>
          <w:i/>
          <w:lang w:val="cs-CZ"/>
        </w:rPr>
        <w:t xml:space="preserve">optimální rovnováhu </w:t>
      </w:r>
      <w:r>
        <w:rPr>
          <w:rFonts w:ascii="Calibri" w:hAnsi="Calibri"/>
          <w:bCs/>
          <w:i/>
          <w:lang w:val="cs-CZ"/>
        </w:rPr>
        <w:t>mezi svými distribučními kanály</w:t>
      </w:r>
      <w:r w:rsidR="008337FF">
        <w:rPr>
          <w:rFonts w:ascii="Calibri" w:hAnsi="Calibri"/>
          <w:bCs/>
          <w:i/>
          <w:lang w:val="cs-CZ"/>
        </w:rPr>
        <w:t>, což vedlo k solidnímu růstu tržeb</w:t>
      </w:r>
      <w:r>
        <w:rPr>
          <w:rFonts w:ascii="Calibri" w:hAnsi="Calibri"/>
          <w:bCs/>
          <w:i/>
          <w:lang w:val="cs-CZ"/>
        </w:rPr>
        <w:t xml:space="preserve"> </w:t>
      </w:r>
      <w:r w:rsidR="00C7297C" w:rsidRPr="00B744C6">
        <w:rPr>
          <w:rFonts w:ascii="Calibri" w:hAnsi="Calibri"/>
          <w:bCs/>
          <w:i/>
          <w:lang w:val="cs-CZ"/>
        </w:rPr>
        <w:t>v</w:t>
      </w:r>
      <w:r>
        <w:rPr>
          <w:rFonts w:ascii="Calibri" w:hAnsi="Calibri"/>
          <w:bCs/>
          <w:i/>
          <w:lang w:val="cs-CZ"/>
        </w:rPr>
        <w:t xml:space="preserve">  </w:t>
      </w:r>
      <w:r w:rsidR="00C7297C" w:rsidRPr="00B744C6">
        <w:rPr>
          <w:rFonts w:ascii="Calibri" w:hAnsi="Calibri"/>
          <w:bCs/>
          <w:i/>
          <w:lang w:val="cs-CZ"/>
        </w:rPr>
        <w:t xml:space="preserve">kamenných prodejnách </w:t>
      </w:r>
      <w:r w:rsidR="008337FF">
        <w:rPr>
          <w:rFonts w:ascii="Calibri" w:hAnsi="Calibri"/>
          <w:bCs/>
          <w:i/>
          <w:lang w:val="cs-CZ"/>
        </w:rPr>
        <w:t xml:space="preserve">a následně </w:t>
      </w:r>
      <w:r w:rsidR="00C7297C" w:rsidRPr="00B744C6">
        <w:rPr>
          <w:rFonts w:ascii="Calibri" w:hAnsi="Calibri"/>
          <w:bCs/>
          <w:i/>
          <w:lang w:val="cs-CZ"/>
        </w:rPr>
        <w:t>se</w:t>
      </w:r>
      <w:r w:rsidR="00DE6FB1">
        <w:rPr>
          <w:rFonts w:ascii="Calibri" w:hAnsi="Calibri"/>
          <w:bCs/>
          <w:i/>
          <w:lang w:val="cs-CZ"/>
        </w:rPr>
        <w:t> </w:t>
      </w:r>
      <w:r w:rsidR="00C7297C" w:rsidRPr="00B744C6">
        <w:rPr>
          <w:rFonts w:ascii="Calibri" w:hAnsi="Calibri"/>
          <w:bCs/>
          <w:i/>
          <w:lang w:val="cs-CZ"/>
        </w:rPr>
        <w:t>pro</w:t>
      </w:r>
      <w:r>
        <w:rPr>
          <w:rFonts w:ascii="Calibri" w:hAnsi="Calibri"/>
          <w:bCs/>
          <w:i/>
          <w:lang w:val="cs-CZ"/>
        </w:rPr>
        <w:t>mítlo</w:t>
      </w:r>
      <w:r w:rsidR="00C7297C" w:rsidRPr="00B744C6">
        <w:rPr>
          <w:rFonts w:ascii="Calibri" w:hAnsi="Calibri"/>
          <w:bCs/>
          <w:i/>
          <w:lang w:val="cs-CZ"/>
        </w:rPr>
        <w:t xml:space="preserve"> i do výše nájemného.</w:t>
      </w:r>
      <w:r w:rsidR="000E06C7" w:rsidRPr="00B744C6">
        <w:rPr>
          <w:rFonts w:ascii="Calibri" w:hAnsi="Calibri"/>
          <w:bCs/>
          <w:i/>
          <w:lang w:val="cs-CZ"/>
        </w:rPr>
        <w:t xml:space="preserve"> </w:t>
      </w:r>
      <w:r w:rsidR="00140206" w:rsidRPr="00B744C6">
        <w:rPr>
          <w:rFonts w:ascii="Calibri" w:eastAsia="Calibri" w:hAnsi="Calibri" w:cs="Calibri"/>
          <w:bCs/>
          <w:i/>
          <w:lang w:val="cs-CZ"/>
        </w:rPr>
        <w:t xml:space="preserve">Meziročně druhý nejvyšší nárůst o 6,7 % proběhl v sektoru domácích potřeb a nábytku, </w:t>
      </w:r>
      <w:r w:rsidR="002A0E3B">
        <w:rPr>
          <w:rFonts w:ascii="Calibri" w:eastAsia="Calibri" w:hAnsi="Calibri" w:cs="Calibri"/>
          <w:bCs/>
          <w:i/>
          <w:lang w:val="cs-CZ"/>
        </w:rPr>
        <w:t>jehož</w:t>
      </w:r>
      <w:r>
        <w:rPr>
          <w:rFonts w:ascii="Calibri" w:eastAsia="Calibri" w:hAnsi="Calibri" w:cs="Calibri"/>
          <w:bCs/>
          <w:i/>
          <w:lang w:val="cs-CZ"/>
        </w:rPr>
        <w:t xml:space="preserve"> </w:t>
      </w:r>
      <w:r w:rsidR="00140206" w:rsidRPr="00B744C6">
        <w:rPr>
          <w:rFonts w:ascii="Calibri" w:eastAsia="Calibri" w:hAnsi="Calibri" w:cs="Calibri"/>
          <w:bCs/>
          <w:i/>
          <w:lang w:val="cs-CZ"/>
        </w:rPr>
        <w:t>hnacím motorem</w:t>
      </w:r>
      <w:r w:rsidR="002A0E3B">
        <w:rPr>
          <w:rFonts w:ascii="Calibri" w:eastAsia="Calibri" w:hAnsi="Calibri" w:cs="Calibri"/>
          <w:bCs/>
          <w:i/>
          <w:lang w:val="cs-CZ"/>
        </w:rPr>
        <w:t xml:space="preserve"> byl především úsek</w:t>
      </w:r>
      <w:r w:rsidR="008337FF">
        <w:rPr>
          <w:rFonts w:ascii="Calibri" w:eastAsia="Calibri" w:hAnsi="Calibri" w:cs="Calibri"/>
          <w:bCs/>
          <w:i/>
          <w:lang w:val="cs-CZ"/>
        </w:rPr>
        <w:t xml:space="preserve"> vybavení domácnosti</w:t>
      </w:r>
      <w:r w:rsidR="00140206" w:rsidRPr="00B744C6">
        <w:rPr>
          <w:rFonts w:ascii="Calibri" w:eastAsia="Calibri" w:hAnsi="Calibri" w:cs="Calibri"/>
          <w:bCs/>
          <w:i/>
          <w:lang w:val="cs-CZ"/>
        </w:rPr>
        <w:t xml:space="preserve">. </w:t>
      </w:r>
      <w:r>
        <w:rPr>
          <w:rFonts w:ascii="Calibri" w:eastAsia="Calibri" w:hAnsi="Calibri" w:cs="Calibri"/>
          <w:bCs/>
          <w:i/>
          <w:lang w:val="cs-CZ"/>
        </w:rPr>
        <w:t>Ten</w:t>
      </w:r>
      <w:r w:rsidR="00DE6FB1">
        <w:rPr>
          <w:rFonts w:ascii="Calibri" w:eastAsia="Calibri" w:hAnsi="Calibri" w:cs="Calibri"/>
          <w:bCs/>
          <w:i/>
          <w:lang w:val="cs-CZ"/>
        </w:rPr>
        <w:t> </w:t>
      </w:r>
      <w:r>
        <w:rPr>
          <w:rFonts w:ascii="Calibri" w:eastAsia="Calibri" w:hAnsi="Calibri" w:cs="Calibri"/>
          <w:bCs/>
          <w:i/>
          <w:lang w:val="cs-CZ"/>
        </w:rPr>
        <w:t xml:space="preserve">vykazoval poslední čtyři roky </w:t>
      </w:r>
      <w:r w:rsidR="00140206" w:rsidRPr="00B744C6">
        <w:rPr>
          <w:rFonts w:ascii="Calibri" w:eastAsia="Calibri" w:hAnsi="Calibri" w:cs="Calibri"/>
          <w:bCs/>
          <w:i/>
          <w:lang w:val="cs-CZ"/>
        </w:rPr>
        <w:t>podobnou dynamiku jako s</w:t>
      </w:r>
      <w:r>
        <w:rPr>
          <w:rFonts w:ascii="Calibri" w:eastAsia="Calibri" w:hAnsi="Calibri" w:cs="Calibri"/>
          <w:bCs/>
          <w:i/>
          <w:lang w:val="cs-CZ"/>
        </w:rPr>
        <w:t>egment</w:t>
      </w:r>
      <w:r w:rsidR="00140206" w:rsidRPr="00B744C6">
        <w:rPr>
          <w:rFonts w:ascii="Calibri" w:eastAsia="Calibri" w:hAnsi="Calibri" w:cs="Calibri"/>
          <w:bCs/>
          <w:i/>
          <w:lang w:val="cs-CZ"/>
        </w:rPr>
        <w:t xml:space="preserve"> elektra a</w:t>
      </w:r>
      <w:r>
        <w:rPr>
          <w:rFonts w:ascii="Calibri" w:eastAsia="Calibri" w:hAnsi="Calibri" w:cs="Calibri"/>
          <w:bCs/>
          <w:i/>
          <w:lang w:val="cs-CZ"/>
        </w:rPr>
        <w:t xml:space="preserve"> zaznamenal</w:t>
      </w:r>
      <w:r w:rsidR="00140206" w:rsidRPr="00B744C6">
        <w:rPr>
          <w:rFonts w:ascii="Calibri" w:eastAsia="Calibri" w:hAnsi="Calibri" w:cs="Calibri"/>
          <w:bCs/>
          <w:i/>
          <w:lang w:val="cs-CZ"/>
        </w:rPr>
        <w:t xml:space="preserve"> zvýšení nájmů o 7,9 %. Podílely se na tom</w:t>
      </w:r>
      <w:r w:rsidR="00493742">
        <w:rPr>
          <w:rFonts w:ascii="Calibri" w:eastAsia="Calibri" w:hAnsi="Calibri" w:cs="Calibri"/>
          <w:bCs/>
          <w:i/>
          <w:lang w:val="cs-CZ"/>
        </w:rPr>
        <w:t xml:space="preserve"> </w:t>
      </w:r>
      <w:r w:rsidR="00140206" w:rsidRPr="00B744C6">
        <w:rPr>
          <w:rFonts w:ascii="Calibri" w:eastAsia="Calibri" w:hAnsi="Calibri" w:cs="Calibri"/>
          <w:bCs/>
          <w:i/>
          <w:lang w:val="cs-CZ"/>
        </w:rPr>
        <w:t xml:space="preserve">jak renegociace </w:t>
      </w:r>
      <w:r>
        <w:rPr>
          <w:rFonts w:ascii="Calibri" w:eastAsia="Calibri" w:hAnsi="Calibri" w:cs="Calibri"/>
          <w:bCs/>
          <w:i/>
          <w:lang w:val="cs-CZ"/>
        </w:rPr>
        <w:t>stávajících nájemních smluv</w:t>
      </w:r>
      <w:r w:rsidR="00140206" w:rsidRPr="00B744C6">
        <w:rPr>
          <w:rFonts w:ascii="Calibri" w:eastAsia="Calibri" w:hAnsi="Calibri" w:cs="Calibri"/>
          <w:bCs/>
          <w:i/>
          <w:lang w:val="cs-CZ"/>
        </w:rPr>
        <w:t>, tak část</w:t>
      </w:r>
      <w:r>
        <w:rPr>
          <w:rFonts w:ascii="Calibri" w:eastAsia="Calibri" w:hAnsi="Calibri" w:cs="Calibri"/>
          <w:bCs/>
          <w:i/>
          <w:lang w:val="cs-CZ"/>
        </w:rPr>
        <w:t>ečně i</w:t>
      </w:r>
      <w:r w:rsidR="00DE6FB1">
        <w:rPr>
          <w:rFonts w:ascii="Calibri" w:eastAsia="Calibri" w:hAnsi="Calibri" w:cs="Calibri"/>
          <w:bCs/>
          <w:i/>
          <w:lang w:val="cs-CZ"/>
        </w:rPr>
        <w:t> </w:t>
      </w:r>
      <w:r>
        <w:rPr>
          <w:rFonts w:ascii="Calibri" w:eastAsia="Calibri" w:hAnsi="Calibri" w:cs="Calibri"/>
          <w:bCs/>
          <w:i/>
          <w:lang w:val="cs-CZ"/>
        </w:rPr>
        <w:t>zmenšení prodejních ploch</w:t>
      </w:r>
      <w:r w:rsidRPr="00B744C6">
        <w:rPr>
          <w:rFonts w:ascii="Calibri" w:eastAsia="Calibri" w:hAnsi="Calibri" w:cs="Calibri"/>
          <w:bCs/>
          <w:i/>
          <w:lang w:val="cs-CZ"/>
        </w:rPr>
        <w:t>,“</w:t>
      </w:r>
      <w:r>
        <w:rPr>
          <w:rFonts w:ascii="Calibri" w:eastAsia="Calibri" w:hAnsi="Calibri" w:cs="Calibri"/>
          <w:bCs/>
          <w:lang w:val="cs-CZ"/>
        </w:rPr>
        <w:t xml:space="preserve"> popisuje</w:t>
      </w:r>
      <w:r w:rsidR="00576716">
        <w:rPr>
          <w:rFonts w:ascii="Calibri" w:eastAsia="Calibri" w:hAnsi="Calibri" w:cs="Calibri"/>
          <w:bCs/>
          <w:lang w:val="cs-CZ"/>
        </w:rPr>
        <w:t xml:space="preserve"> </w:t>
      </w:r>
      <w:r w:rsidR="00576716" w:rsidRPr="006727DC">
        <w:rPr>
          <w:rFonts w:ascii="Calibri" w:eastAsia="Calibri" w:hAnsi="Calibri" w:cs="Calibri"/>
          <w:b/>
          <w:lang w:val="cs-CZ"/>
        </w:rPr>
        <w:t>Jan Janáček, vedoucí týmu maloobchodních pronájmů</w:t>
      </w:r>
      <w:r w:rsidR="00EC0015">
        <w:rPr>
          <w:rFonts w:ascii="Calibri" w:eastAsia="Calibri" w:hAnsi="Calibri" w:cs="Calibri"/>
          <w:b/>
          <w:lang w:val="cs-CZ"/>
        </w:rPr>
        <w:t xml:space="preserve"> v</w:t>
      </w:r>
      <w:r w:rsidR="000D477B">
        <w:rPr>
          <w:rFonts w:ascii="Calibri" w:eastAsia="Calibri" w:hAnsi="Calibri" w:cs="Calibri"/>
          <w:b/>
          <w:lang w:val="cs-CZ"/>
        </w:rPr>
        <w:t> </w:t>
      </w:r>
      <w:r w:rsidR="00EC0015">
        <w:rPr>
          <w:rFonts w:ascii="Calibri" w:eastAsia="Calibri" w:hAnsi="Calibri" w:cs="Calibri"/>
          <w:b/>
          <w:lang w:val="cs-CZ"/>
        </w:rPr>
        <w:t>CBRE</w:t>
      </w:r>
      <w:r>
        <w:rPr>
          <w:rFonts w:ascii="Calibri" w:eastAsia="Calibri" w:hAnsi="Calibri" w:cs="Calibri"/>
          <w:bCs/>
          <w:lang w:val="cs-CZ"/>
        </w:rPr>
        <w:t>.</w:t>
      </w:r>
    </w:p>
    <w:p w14:paraId="0F0B14F6" w14:textId="77777777" w:rsidR="00EB4801" w:rsidRDefault="00EB4801" w:rsidP="000C5660">
      <w:pPr>
        <w:jc w:val="both"/>
        <w:rPr>
          <w:rFonts w:ascii="Calibri" w:eastAsia="Calibri" w:hAnsi="Calibri" w:cs="Calibri"/>
          <w:bCs/>
          <w:lang w:val="cs-CZ"/>
        </w:rPr>
      </w:pPr>
    </w:p>
    <w:p w14:paraId="331DDAB5" w14:textId="3F302B6F" w:rsidR="007A5758" w:rsidRDefault="00EB4801" w:rsidP="007A5758">
      <w:pPr>
        <w:jc w:val="both"/>
        <w:rPr>
          <w:rFonts w:ascii="Calibri" w:eastAsia="Calibri" w:hAnsi="Calibri" w:cs="Calibri"/>
          <w:bCs/>
          <w:lang w:val="cs-CZ"/>
        </w:rPr>
      </w:pPr>
      <w:r w:rsidRPr="00EB4801">
        <w:rPr>
          <w:rFonts w:ascii="Calibri" w:eastAsia="Calibri" w:hAnsi="Calibri" w:cs="Calibri"/>
          <w:bCs/>
          <w:lang w:val="cs-CZ"/>
        </w:rPr>
        <w:t>Naopak jeden z největších poklesů – v průměru o 4,6 % - bylo možné sledovat v oblasti módy. A</w:t>
      </w:r>
      <w:r w:rsidR="00DE6FB1">
        <w:rPr>
          <w:rFonts w:ascii="Calibri" w:eastAsia="Calibri" w:hAnsi="Calibri" w:cs="Calibri"/>
          <w:bCs/>
          <w:lang w:val="cs-CZ"/>
        </w:rPr>
        <w:t> </w:t>
      </w:r>
      <w:r w:rsidRPr="00EB4801">
        <w:rPr>
          <w:rFonts w:ascii="Calibri" w:eastAsia="Calibri" w:hAnsi="Calibri" w:cs="Calibri"/>
          <w:bCs/>
          <w:lang w:val="cs-CZ"/>
        </w:rPr>
        <w:t xml:space="preserve">vzhledem k faktu, že oděvní značky jsou v mixu nájemců </w:t>
      </w:r>
      <w:r w:rsidR="00836C23">
        <w:rPr>
          <w:rFonts w:ascii="Calibri" w:eastAsia="Calibri" w:hAnsi="Calibri" w:cs="Calibri"/>
          <w:bCs/>
          <w:lang w:val="cs-CZ"/>
        </w:rPr>
        <w:t>zastoupeny nejvýrazněji, měla tato</w:t>
      </w:r>
      <w:r w:rsidR="000D477B">
        <w:rPr>
          <w:rFonts w:ascii="Calibri" w:eastAsia="Calibri" w:hAnsi="Calibri" w:cs="Calibri"/>
          <w:bCs/>
          <w:lang w:val="cs-CZ"/>
        </w:rPr>
        <w:t> </w:t>
      </w:r>
      <w:r w:rsidR="00836C23">
        <w:rPr>
          <w:rFonts w:ascii="Calibri" w:eastAsia="Calibri" w:hAnsi="Calibri" w:cs="Calibri"/>
          <w:bCs/>
          <w:lang w:val="cs-CZ"/>
        </w:rPr>
        <w:t>situace</w:t>
      </w:r>
      <w:r w:rsidRPr="00EB4801">
        <w:rPr>
          <w:rFonts w:ascii="Calibri" w:eastAsia="Calibri" w:hAnsi="Calibri" w:cs="Calibri"/>
          <w:bCs/>
          <w:lang w:val="cs-CZ"/>
        </w:rPr>
        <w:t xml:space="preserve"> zásadní vliv i na celkovou </w:t>
      </w:r>
      <w:r w:rsidR="00836C23">
        <w:rPr>
          <w:rFonts w:ascii="Calibri" w:eastAsia="Calibri" w:hAnsi="Calibri" w:cs="Calibri"/>
          <w:bCs/>
          <w:lang w:val="cs-CZ"/>
        </w:rPr>
        <w:t xml:space="preserve">výši </w:t>
      </w:r>
      <w:r w:rsidRPr="00EB4801">
        <w:rPr>
          <w:rFonts w:ascii="Calibri" w:eastAsia="Calibri" w:hAnsi="Calibri" w:cs="Calibri"/>
          <w:bCs/>
          <w:lang w:val="cs-CZ"/>
        </w:rPr>
        <w:t>průměr</w:t>
      </w:r>
      <w:r w:rsidR="00836C23">
        <w:rPr>
          <w:rFonts w:ascii="Calibri" w:eastAsia="Calibri" w:hAnsi="Calibri" w:cs="Calibri"/>
          <w:bCs/>
          <w:lang w:val="cs-CZ"/>
        </w:rPr>
        <w:t xml:space="preserve">ného nájmu </w:t>
      </w:r>
      <w:r w:rsidRPr="00EB4801">
        <w:rPr>
          <w:rFonts w:ascii="Calibri" w:eastAsia="Calibri" w:hAnsi="Calibri" w:cs="Calibri"/>
          <w:bCs/>
          <w:lang w:val="cs-CZ"/>
        </w:rPr>
        <w:t xml:space="preserve">v obchodních centrech. Nejvyšší tlak na </w:t>
      </w:r>
      <w:r w:rsidR="00E91315">
        <w:rPr>
          <w:rFonts w:ascii="Calibri" w:eastAsia="Calibri" w:hAnsi="Calibri" w:cs="Calibri"/>
          <w:bCs/>
          <w:lang w:val="cs-CZ"/>
        </w:rPr>
        <w:t>snížení</w:t>
      </w:r>
      <w:r w:rsidRPr="00EB4801">
        <w:rPr>
          <w:rFonts w:ascii="Calibri" w:eastAsia="Calibri" w:hAnsi="Calibri" w:cs="Calibri"/>
          <w:bCs/>
          <w:lang w:val="cs-CZ"/>
        </w:rPr>
        <w:t xml:space="preserve"> nájemného byl především </w:t>
      </w:r>
      <w:r w:rsidR="00836C23">
        <w:rPr>
          <w:rFonts w:ascii="Calibri" w:eastAsia="Calibri" w:hAnsi="Calibri" w:cs="Calibri"/>
          <w:bCs/>
          <w:lang w:val="cs-CZ"/>
        </w:rPr>
        <w:t>ze strany</w:t>
      </w:r>
      <w:r w:rsidRPr="00EB4801">
        <w:rPr>
          <w:rFonts w:ascii="Calibri" w:eastAsia="Calibri" w:hAnsi="Calibri" w:cs="Calibri"/>
          <w:bCs/>
          <w:lang w:val="cs-CZ"/>
        </w:rPr>
        <w:t xml:space="preserve"> prodejců,</w:t>
      </w:r>
      <w:r w:rsidR="00836C23">
        <w:rPr>
          <w:rFonts w:ascii="Calibri" w:eastAsia="Calibri" w:hAnsi="Calibri" w:cs="Calibri"/>
          <w:bCs/>
          <w:lang w:val="cs-CZ"/>
        </w:rPr>
        <w:t xml:space="preserve"> kteří si pronajímají obchodní</w:t>
      </w:r>
      <w:r w:rsidRPr="00EB4801">
        <w:rPr>
          <w:rFonts w:ascii="Calibri" w:eastAsia="Calibri" w:hAnsi="Calibri" w:cs="Calibri"/>
          <w:bCs/>
          <w:lang w:val="cs-CZ"/>
        </w:rPr>
        <w:t xml:space="preserve"> jednotky ve velikosti od 500 do 1 000 m</w:t>
      </w:r>
      <w:r w:rsidRPr="00836C23">
        <w:rPr>
          <w:rFonts w:ascii="Calibri" w:eastAsia="Calibri" w:hAnsi="Calibri" w:cs="Calibri"/>
          <w:bCs/>
          <w:vertAlign w:val="superscript"/>
          <w:lang w:val="cs-CZ"/>
        </w:rPr>
        <w:t>2</w:t>
      </w:r>
      <w:r w:rsidR="00836C23">
        <w:rPr>
          <w:rFonts w:ascii="Calibri" w:eastAsia="Calibri" w:hAnsi="Calibri" w:cs="Calibri"/>
          <w:bCs/>
          <w:vertAlign w:val="superscript"/>
          <w:lang w:val="cs-CZ"/>
        </w:rPr>
        <w:t xml:space="preserve"> </w:t>
      </w:r>
      <w:r w:rsidRPr="00EB4801">
        <w:rPr>
          <w:rFonts w:ascii="Calibri" w:eastAsia="Calibri" w:hAnsi="Calibri" w:cs="Calibri"/>
          <w:bCs/>
          <w:lang w:val="cs-CZ"/>
        </w:rPr>
        <w:t xml:space="preserve">a zaujímají přibližně čtvrtinu </w:t>
      </w:r>
      <w:r w:rsidR="00582715">
        <w:rPr>
          <w:rFonts w:ascii="Calibri" w:eastAsia="Calibri" w:hAnsi="Calibri" w:cs="Calibri"/>
          <w:bCs/>
          <w:lang w:val="cs-CZ"/>
        </w:rPr>
        <w:t>plochy tohoto segmentu</w:t>
      </w:r>
      <w:r w:rsidRPr="00EB4801">
        <w:rPr>
          <w:rFonts w:ascii="Calibri" w:eastAsia="Calibri" w:hAnsi="Calibri" w:cs="Calibri"/>
          <w:bCs/>
          <w:lang w:val="cs-CZ"/>
        </w:rPr>
        <w:t>. U</w:t>
      </w:r>
      <w:r w:rsidR="000D477B">
        <w:rPr>
          <w:rFonts w:ascii="Calibri" w:eastAsia="Calibri" w:hAnsi="Calibri" w:cs="Calibri"/>
          <w:bCs/>
          <w:lang w:val="cs-CZ"/>
        </w:rPr>
        <w:t> </w:t>
      </w:r>
      <w:r w:rsidRPr="00EB4801">
        <w:rPr>
          <w:rFonts w:ascii="Calibri" w:eastAsia="Calibri" w:hAnsi="Calibri" w:cs="Calibri"/>
          <w:bCs/>
          <w:lang w:val="cs-CZ"/>
        </w:rPr>
        <w:t xml:space="preserve">nich došlo k meziročnímu poklesu </w:t>
      </w:r>
      <w:r w:rsidR="00A44A60">
        <w:rPr>
          <w:rFonts w:ascii="Calibri" w:eastAsia="Calibri" w:hAnsi="Calibri" w:cs="Calibri"/>
          <w:bCs/>
          <w:lang w:val="cs-CZ"/>
        </w:rPr>
        <w:t xml:space="preserve">nájmu o 8,8 %. </w:t>
      </w:r>
      <w:r w:rsidR="00732130">
        <w:rPr>
          <w:rFonts w:ascii="Calibri" w:eastAsia="Calibri" w:hAnsi="Calibri" w:cs="Calibri"/>
          <w:bCs/>
          <w:lang w:val="cs-CZ"/>
        </w:rPr>
        <w:t>Také</w:t>
      </w:r>
      <w:r w:rsidR="00582715">
        <w:rPr>
          <w:rFonts w:ascii="Calibri" w:eastAsia="Calibri" w:hAnsi="Calibri" w:cs="Calibri"/>
          <w:bCs/>
          <w:lang w:val="cs-CZ"/>
        </w:rPr>
        <w:t xml:space="preserve"> u</w:t>
      </w:r>
      <w:r w:rsidR="00A44A60">
        <w:rPr>
          <w:rFonts w:ascii="Calibri" w:eastAsia="Calibri" w:hAnsi="Calibri" w:cs="Calibri"/>
          <w:bCs/>
          <w:lang w:val="cs-CZ"/>
        </w:rPr>
        <w:t xml:space="preserve"> p</w:t>
      </w:r>
      <w:r w:rsidRPr="00EB4801">
        <w:rPr>
          <w:rFonts w:ascii="Calibri" w:eastAsia="Calibri" w:hAnsi="Calibri" w:cs="Calibri"/>
          <w:bCs/>
          <w:lang w:val="cs-CZ"/>
        </w:rPr>
        <w:t>rodejc</w:t>
      </w:r>
      <w:r w:rsidR="00582715">
        <w:rPr>
          <w:rFonts w:ascii="Calibri" w:eastAsia="Calibri" w:hAnsi="Calibri" w:cs="Calibri"/>
          <w:bCs/>
          <w:lang w:val="cs-CZ"/>
        </w:rPr>
        <w:t>ů</w:t>
      </w:r>
      <w:r w:rsidRPr="00EB4801">
        <w:rPr>
          <w:rFonts w:ascii="Calibri" w:eastAsia="Calibri" w:hAnsi="Calibri" w:cs="Calibri"/>
          <w:bCs/>
          <w:lang w:val="cs-CZ"/>
        </w:rPr>
        <w:t xml:space="preserve"> spodního prádla</w:t>
      </w:r>
      <w:r w:rsidR="00836C23">
        <w:rPr>
          <w:rFonts w:ascii="Calibri" w:eastAsia="Calibri" w:hAnsi="Calibri" w:cs="Calibri"/>
          <w:bCs/>
          <w:lang w:val="cs-CZ"/>
        </w:rPr>
        <w:t xml:space="preserve"> </w:t>
      </w:r>
      <w:r w:rsidR="00582715">
        <w:rPr>
          <w:rFonts w:ascii="Calibri" w:eastAsia="Calibri" w:hAnsi="Calibri" w:cs="Calibri"/>
          <w:bCs/>
          <w:lang w:val="cs-CZ"/>
        </w:rPr>
        <w:t>došlo ke</w:t>
      </w:r>
      <w:r w:rsidR="000D477B">
        <w:rPr>
          <w:rFonts w:ascii="Calibri" w:eastAsia="Calibri" w:hAnsi="Calibri" w:cs="Calibri"/>
          <w:bCs/>
          <w:lang w:val="cs-CZ"/>
        </w:rPr>
        <w:t> </w:t>
      </w:r>
      <w:r w:rsidRPr="00EB4801">
        <w:rPr>
          <w:rFonts w:ascii="Calibri" w:eastAsia="Calibri" w:hAnsi="Calibri" w:cs="Calibri"/>
          <w:bCs/>
          <w:lang w:val="cs-CZ"/>
        </w:rPr>
        <w:t>snížení</w:t>
      </w:r>
      <w:r w:rsidR="00582715">
        <w:rPr>
          <w:rFonts w:ascii="Calibri" w:eastAsia="Calibri" w:hAnsi="Calibri" w:cs="Calibri"/>
          <w:bCs/>
          <w:lang w:val="cs-CZ"/>
        </w:rPr>
        <w:t xml:space="preserve"> průměrného nájmu</w:t>
      </w:r>
      <w:r w:rsidR="00493742">
        <w:rPr>
          <w:rFonts w:ascii="Calibri" w:eastAsia="Calibri" w:hAnsi="Calibri" w:cs="Calibri"/>
          <w:bCs/>
          <w:lang w:val="cs-CZ"/>
        </w:rPr>
        <w:t>, a</w:t>
      </w:r>
      <w:r w:rsidR="00DE6FB1">
        <w:rPr>
          <w:rFonts w:ascii="Calibri" w:eastAsia="Calibri" w:hAnsi="Calibri" w:cs="Calibri"/>
          <w:bCs/>
          <w:lang w:val="cs-CZ"/>
        </w:rPr>
        <w:t> </w:t>
      </w:r>
      <w:r w:rsidR="00493742">
        <w:rPr>
          <w:rFonts w:ascii="Calibri" w:eastAsia="Calibri" w:hAnsi="Calibri" w:cs="Calibri"/>
          <w:bCs/>
          <w:lang w:val="cs-CZ"/>
        </w:rPr>
        <w:t>to</w:t>
      </w:r>
      <w:r w:rsidR="00DE6FB1">
        <w:rPr>
          <w:rFonts w:ascii="Calibri" w:eastAsia="Calibri" w:hAnsi="Calibri" w:cs="Calibri"/>
          <w:bCs/>
          <w:lang w:val="cs-CZ"/>
        </w:rPr>
        <w:t> </w:t>
      </w:r>
      <w:r w:rsidRPr="00EB4801">
        <w:rPr>
          <w:rFonts w:ascii="Calibri" w:eastAsia="Calibri" w:hAnsi="Calibri" w:cs="Calibri"/>
          <w:bCs/>
          <w:lang w:val="cs-CZ"/>
        </w:rPr>
        <w:t>o</w:t>
      </w:r>
      <w:r w:rsidR="00DE6FB1">
        <w:rPr>
          <w:rFonts w:ascii="Calibri" w:eastAsia="Calibri" w:hAnsi="Calibri" w:cs="Calibri"/>
          <w:bCs/>
          <w:lang w:val="cs-CZ"/>
        </w:rPr>
        <w:t> </w:t>
      </w:r>
      <w:r w:rsidRPr="00EB4801">
        <w:rPr>
          <w:rFonts w:ascii="Calibri" w:eastAsia="Calibri" w:hAnsi="Calibri" w:cs="Calibri"/>
          <w:bCs/>
          <w:lang w:val="cs-CZ"/>
        </w:rPr>
        <w:t>8,6</w:t>
      </w:r>
      <w:r w:rsidR="00DE6FB1">
        <w:rPr>
          <w:rFonts w:ascii="Calibri" w:eastAsia="Calibri" w:hAnsi="Calibri" w:cs="Calibri"/>
          <w:bCs/>
          <w:lang w:val="cs-CZ"/>
        </w:rPr>
        <w:t> </w:t>
      </w:r>
      <w:r w:rsidRPr="00A44A60">
        <w:rPr>
          <w:rFonts w:ascii="Calibri" w:eastAsia="Calibri" w:hAnsi="Calibri" w:cs="Calibri"/>
          <w:bCs/>
          <w:lang w:val="cs-CZ"/>
        </w:rPr>
        <w:t>%.</w:t>
      </w:r>
      <w:r w:rsidR="000E06C7" w:rsidRPr="00A44A60">
        <w:rPr>
          <w:rFonts w:ascii="Calibri" w:eastAsia="Calibri" w:hAnsi="Calibri" w:cs="Calibri"/>
          <w:bCs/>
          <w:lang w:val="cs-CZ"/>
        </w:rPr>
        <w:t xml:space="preserve"> </w:t>
      </w:r>
      <w:r w:rsidR="00A44A60" w:rsidRPr="00A44A60">
        <w:rPr>
          <w:rFonts w:ascii="Calibri" w:eastAsia="Calibri" w:hAnsi="Calibri" w:cs="Calibri"/>
          <w:bCs/>
          <w:lang w:val="cs-CZ"/>
        </w:rPr>
        <w:t>Další</w:t>
      </w:r>
      <w:r w:rsidRPr="00A44A60">
        <w:rPr>
          <w:rFonts w:ascii="Calibri" w:eastAsia="Calibri" w:hAnsi="Calibri" w:cs="Calibri"/>
          <w:bCs/>
          <w:lang w:val="cs-CZ"/>
        </w:rPr>
        <w:t xml:space="preserve"> sektor, který byl z pohledu </w:t>
      </w:r>
      <w:r w:rsidR="00732130">
        <w:rPr>
          <w:rFonts w:ascii="Calibri" w:eastAsia="Calibri" w:hAnsi="Calibri" w:cs="Calibri"/>
          <w:bCs/>
          <w:lang w:val="cs-CZ"/>
        </w:rPr>
        <w:t xml:space="preserve">výběru nájemného </w:t>
      </w:r>
      <w:r w:rsidRPr="00A44A60">
        <w:rPr>
          <w:rFonts w:ascii="Calibri" w:eastAsia="Calibri" w:hAnsi="Calibri" w:cs="Calibri"/>
          <w:bCs/>
          <w:lang w:val="cs-CZ"/>
        </w:rPr>
        <w:t>nejvíce zasažen, byl</w:t>
      </w:r>
      <w:r w:rsidR="00A44A60" w:rsidRPr="00A44A60">
        <w:rPr>
          <w:rFonts w:ascii="Calibri" w:eastAsia="Calibri" w:hAnsi="Calibri" w:cs="Calibri"/>
          <w:bCs/>
          <w:lang w:val="cs-CZ"/>
        </w:rPr>
        <w:t xml:space="preserve"> segment </w:t>
      </w:r>
      <w:r w:rsidR="00D7586D">
        <w:rPr>
          <w:rFonts w:ascii="Calibri" w:eastAsia="Calibri" w:hAnsi="Calibri" w:cs="Calibri"/>
          <w:bCs/>
          <w:lang w:val="cs-CZ"/>
        </w:rPr>
        <w:t xml:space="preserve">módních </w:t>
      </w:r>
      <w:r w:rsidRPr="00A44A60">
        <w:rPr>
          <w:rFonts w:ascii="Calibri" w:eastAsia="Calibri" w:hAnsi="Calibri" w:cs="Calibri"/>
          <w:bCs/>
          <w:lang w:val="cs-CZ"/>
        </w:rPr>
        <w:t xml:space="preserve">doplňků. </w:t>
      </w:r>
      <w:r w:rsidR="00A44A60" w:rsidRPr="00A44A60">
        <w:rPr>
          <w:rFonts w:ascii="Calibri" w:eastAsia="Calibri" w:hAnsi="Calibri" w:cs="Calibri"/>
          <w:bCs/>
          <w:lang w:val="cs-CZ"/>
        </w:rPr>
        <w:t>V této kategorii</w:t>
      </w:r>
      <w:r w:rsidRPr="00A44A60">
        <w:rPr>
          <w:rFonts w:ascii="Calibri" w:eastAsia="Calibri" w:hAnsi="Calibri" w:cs="Calibri"/>
          <w:bCs/>
          <w:lang w:val="cs-CZ"/>
        </w:rPr>
        <w:t xml:space="preserve"> nakonec </w:t>
      </w:r>
      <w:r w:rsidR="00493742">
        <w:rPr>
          <w:rFonts w:ascii="Calibri" w:eastAsia="Calibri" w:hAnsi="Calibri" w:cs="Calibri"/>
          <w:bCs/>
          <w:lang w:val="cs-CZ"/>
        </w:rPr>
        <w:t>došlo k</w:t>
      </w:r>
      <w:r w:rsidR="00E91315">
        <w:rPr>
          <w:rFonts w:ascii="Calibri" w:eastAsia="Calibri" w:hAnsi="Calibri" w:cs="Calibri"/>
          <w:bCs/>
          <w:lang w:val="cs-CZ"/>
        </w:rPr>
        <w:t xml:space="preserve"> </w:t>
      </w:r>
      <w:r w:rsidR="00582715">
        <w:rPr>
          <w:rFonts w:ascii="Calibri" w:eastAsia="Calibri" w:hAnsi="Calibri" w:cs="Calibri"/>
          <w:bCs/>
          <w:lang w:val="cs-CZ"/>
        </w:rPr>
        <w:t xml:space="preserve">poklesu </w:t>
      </w:r>
      <w:r w:rsidR="00493742">
        <w:rPr>
          <w:rFonts w:ascii="Calibri" w:eastAsia="Calibri" w:hAnsi="Calibri" w:cs="Calibri"/>
          <w:bCs/>
          <w:lang w:val="cs-CZ"/>
        </w:rPr>
        <w:t>nájemného</w:t>
      </w:r>
      <w:r w:rsidR="00A44A60" w:rsidRPr="00A44A60">
        <w:rPr>
          <w:rFonts w:ascii="Calibri" w:eastAsia="Calibri" w:hAnsi="Calibri" w:cs="Calibri"/>
          <w:bCs/>
          <w:lang w:val="cs-CZ"/>
        </w:rPr>
        <w:t xml:space="preserve"> o 4,9 %. U prodejen obuvi, </w:t>
      </w:r>
      <w:r w:rsidRPr="00A44A60">
        <w:rPr>
          <w:rFonts w:ascii="Calibri" w:eastAsia="Calibri" w:hAnsi="Calibri" w:cs="Calibri"/>
          <w:bCs/>
          <w:lang w:val="cs-CZ"/>
        </w:rPr>
        <w:t>kte</w:t>
      </w:r>
      <w:r w:rsidR="00A44A60" w:rsidRPr="00A44A60">
        <w:rPr>
          <w:rFonts w:ascii="Calibri" w:eastAsia="Calibri" w:hAnsi="Calibri" w:cs="Calibri"/>
          <w:bCs/>
          <w:lang w:val="cs-CZ"/>
        </w:rPr>
        <w:t>rou do této oblasti také řadíme</w:t>
      </w:r>
      <w:r w:rsidR="00EE3DC4">
        <w:rPr>
          <w:rFonts w:ascii="Calibri" w:eastAsia="Calibri" w:hAnsi="Calibri" w:cs="Calibri"/>
          <w:bCs/>
          <w:lang w:val="cs-CZ"/>
        </w:rPr>
        <w:t xml:space="preserve"> (</w:t>
      </w:r>
      <w:r w:rsidRPr="00A44A60">
        <w:rPr>
          <w:rFonts w:ascii="Calibri" w:eastAsia="Calibri" w:hAnsi="Calibri" w:cs="Calibri"/>
          <w:bCs/>
          <w:lang w:val="cs-CZ"/>
        </w:rPr>
        <w:t>a tvoří cca 85</w:t>
      </w:r>
      <w:r w:rsidR="00A44A60" w:rsidRPr="00A44A60">
        <w:rPr>
          <w:rFonts w:ascii="Calibri" w:eastAsia="Calibri" w:hAnsi="Calibri" w:cs="Calibri"/>
          <w:bCs/>
          <w:lang w:val="cs-CZ"/>
        </w:rPr>
        <w:t xml:space="preserve"> %</w:t>
      </w:r>
      <w:r w:rsidR="00EE3DC4">
        <w:rPr>
          <w:rFonts w:ascii="Calibri" w:eastAsia="Calibri" w:hAnsi="Calibri" w:cs="Calibri"/>
          <w:bCs/>
          <w:lang w:val="cs-CZ"/>
        </w:rPr>
        <w:t>)</w:t>
      </w:r>
      <w:r w:rsidR="00A44A60" w:rsidRPr="00A44A60">
        <w:rPr>
          <w:rFonts w:ascii="Calibri" w:eastAsia="Calibri" w:hAnsi="Calibri" w:cs="Calibri"/>
          <w:bCs/>
          <w:lang w:val="cs-CZ"/>
        </w:rPr>
        <w:t>, dokonce došlo ke snížení o 5,</w:t>
      </w:r>
      <w:r w:rsidRPr="00A44A60">
        <w:rPr>
          <w:rFonts w:ascii="Calibri" w:eastAsia="Calibri" w:hAnsi="Calibri" w:cs="Calibri"/>
          <w:bCs/>
          <w:lang w:val="cs-CZ"/>
        </w:rPr>
        <w:t xml:space="preserve">9 %. </w:t>
      </w:r>
      <w:r w:rsidR="00A44A60" w:rsidRPr="00A44A60">
        <w:rPr>
          <w:rFonts w:ascii="Calibri" w:eastAsia="Calibri" w:hAnsi="Calibri" w:cs="Calibri"/>
          <w:bCs/>
          <w:lang w:val="cs-CZ"/>
        </w:rPr>
        <w:t>Ovšem</w:t>
      </w:r>
      <w:r w:rsidR="000F0C45">
        <w:rPr>
          <w:rFonts w:ascii="Calibri" w:eastAsia="Calibri" w:hAnsi="Calibri" w:cs="Calibri"/>
          <w:bCs/>
          <w:lang w:val="cs-CZ"/>
        </w:rPr>
        <w:t> </w:t>
      </w:r>
      <w:r w:rsidR="00A44A60" w:rsidRPr="00A44A60">
        <w:rPr>
          <w:rFonts w:ascii="Calibri" w:eastAsia="Calibri" w:hAnsi="Calibri" w:cs="Calibri"/>
          <w:bCs/>
          <w:lang w:val="cs-CZ"/>
        </w:rPr>
        <w:t>hodnotíme-l</w:t>
      </w:r>
      <w:r w:rsidR="00861C9C">
        <w:rPr>
          <w:rFonts w:ascii="Calibri" w:eastAsia="Calibri" w:hAnsi="Calibri" w:cs="Calibri"/>
          <w:bCs/>
          <w:lang w:val="cs-CZ"/>
        </w:rPr>
        <w:t xml:space="preserve">i jednotlivé podkategorie, </w:t>
      </w:r>
      <w:r w:rsidR="00A44A60" w:rsidRPr="00A44A60">
        <w:rPr>
          <w:rFonts w:ascii="Calibri" w:eastAsia="Calibri" w:hAnsi="Calibri" w:cs="Calibri"/>
          <w:bCs/>
          <w:lang w:val="cs-CZ"/>
        </w:rPr>
        <w:t xml:space="preserve">k největšímu poklesu nájmů došlo u cestovních kanceláří, a to </w:t>
      </w:r>
      <w:r w:rsidR="00E91315">
        <w:rPr>
          <w:rFonts w:ascii="Calibri" w:eastAsia="Calibri" w:hAnsi="Calibri" w:cs="Calibri"/>
          <w:bCs/>
          <w:lang w:val="cs-CZ"/>
        </w:rPr>
        <w:t>ve výši</w:t>
      </w:r>
      <w:r w:rsidRPr="00A44A60">
        <w:rPr>
          <w:rFonts w:ascii="Calibri" w:eastAsia="Calibri" w:hAnsi="Calibri" w:cs="Calibri"/>
          <w:bCs/>
          <w:lang w:val="cs-CZ"/>
        </w:rPr>
        <w:t xml:space="preserve"> 12,5 %.</w:t>
      </w:r>
      <w:r w:rsidR="00A44A60" w:rsidRPr="00A44A60">
        <w:rPr>
          <w:rFonts w:ascii="Calibri" w:eastAsia="Calibri" w:hAnsi="Calibri" w:cs="Calibri"/>
          <w:bCs/>
          <w:lang w:val="cs-CZ"/>
        </w:rPr>
        <w:t xml:space="preserve"> </w:t>
      </w:r>
      <w:r w:rsidR="00582715">
        <w:rPr>
          <w:rFonts w:ascii="Calibri" w:eastAsia="Calibri" w:hAnsi="Calibri" w:cs="Calibri"/>
          <w:bCs/>
          <w:lang w:val="cs-CZ"/>
        </w:rPr>
        <w:t>V případě velikostních kategorií jednotek, kd</w:t>
      </w:r>
      <w:r w:rsidR="006727DC">
        <w:rPr>
          <w:rFonts w:ascii="Calibri" w:eastAsia="Calibri" w:hAnsi="Calibri" w:cs="Calibri"/>
          <w:bCs/>
          <w:lang w:val="cs-CZ"/>
        </w:rPr>
        <w:t>y</w:t>
      </w:r>
      <w:r w:rsidR="00582715">
        <w:rPr>
          <w:rFonts w:ascii="Calibri" w:eastAsia="Calibri" w:hAnsi="Calibri" w:cs="Calibri"/>
          <w:bCs/>
          <w:lang w:val="cs-CZ"/>
        </w:rPr>
        <w:t xml:space="preserve"> v předchozích letech vyvíjely tlak na výši nájemného největší jednotky nad 1 000 </w:t>
      </w:r>
      <w:r w:rsidR="00582715" w:rsidRPr="00EB4801">
        <w:rPr>
          <w:rFonts w:ascii="Calibri" w:eastAsia="Calibri" w:hAnsi="Calibri" w:cs="Calibri"/>
          <w:bCs/>
          <w:lang w:val="cs-CZ"/>
        </w:rPr>
        <w:t>m</w:t>
      </w:r>
      <w:r w:rsidR="00582715" w:rsidRPr="00836C23">
        <w:rPr>
          <w:rFonts w:ascii="Calibri" w:eastAsia="Calibri" w:hAnsi="Calibri" w:cs="Calibri"/>
          <w:bCs/>
          <w:vertAlign w:val="superscript"/>
          <w:lang w:val="cs-CZ"/>
        </w:rPr>
        <w:t>2</w:t>
      </w:r>
      <w:r w:rsidR="00582715">
        <w:rPr>
          <w:rFonts w:ascii="Calibri" w:eastAsia="Calibri" w:hAnsi="Calibri" w:cs="Calibri"/>
          <w:bCs/>
          <w:lang w:val="cs-CZ"/>
        </w:rPr>
        <w:t xml:space="preserve">, které jsou obsazeny kotevními nájemci, </w:t>
      </w:r>
      <w:r w:rsidR="00311B1F">
        <w:rPr>
          <w:rFonts w:ascii="Calibri" w:eastAsia="Calibri" w:hAnsi="Calibri" w:cs="Calibri"/>
          <w:bCs/>
          <w:lang w:val="cs-CZ"/>
        </w:rPr>
        <w:t>se meziroční pokles průměrného nájemného pohyboval v rozmezí 0,1 % až 3,8 %. Pouze dvě nejme</w:t>
      </w:r>
      <w:r w:rsidR="0096692B">
        <w:rPr>
          <w:rFonts w:ascii="Calibri" w:eastAsia="Calibri" w:hAnsi="Calibri" w:cs="Calibri"/>
          <w:bCs/>
          <w:lang w:val="cs-CZ"/>
        </w:rPr>
        <w:t>n</w:t>
      </w:r>
      <w:r w:rsidR="00311B1F">
        <w:rPr>
          <w:rFonts w:ascii="Calibri" w:eastAsia="Calibri" w:hAnsi="Calibri" w:cs="Calibri"/>
          <w:bCs/>
          <w:lang w:val="cs-CZ"/>
        </w:rPr>
        <w:t>ší kategorie s velikostí do 100</w:t>
      </w:r>
      <w:r w:rsidR="00311B1F" w:rsidRPr="00311B1F">
        <w:rPr>
          <w:rFonts w:ascii="Calibri" w:eastAsia="Calibri" w:hAnsi="Calibri" w:cs="Calibri"/>
          <w:bCs/>
          <w:lang w:val="cs-CZ"/>
        </w:rPr>
        <w:t xml:space="preserve"> </w:t>
      </w:r>
      <w:r w:rsidR="00311B1F" w:rsidRPr="00EB4801">
        <w:rPr>
          <w:rFonts w:ascii="Calibri" w:eastAsia="Calibri" w:hAnsi="Calibri" w:cs="Calibri"/>
          <w:bCs/>
          <w:lang w:val="cs-CZ"/>
        </w:rPr>
        <w:t>m</w:t>
      </w:r>
      <w:r w:rsidR="00311B1F" w:rsidRPr="00836C23">
        <w:rPr>
          <w:rFonts w:ascii="Calibri" w:eastAsia="Calibri" w:hAnsi="Calibri" w:cs="Calibri"/>
          <w:bCs/>
          <w:vertAlign w:val="superscript"/>
          <w:lang w:val="cs-CZ"/>
        </w:rPr>
        <w:t>2</w:t>
      </w:r>
      <w:r w:rsidR="00311B1F">
        <w:rPr>
          <w:rFonts w:ascii="Calibri" w:eastAsia="Calibri" w:hAnsi="Calibri" w:cs="Calibri"/>
          <w:bCs/>
          <w:vertAlign w:val="superscript"/>
          <w:lang w:val="cs-CZ"/>
        </w:rPr>
        <w:t xml:space="preserve"> </w:t>
      </w:r>
      <w:r w:rsidR="00311B1F">
        <w:rPr>
          <w:rFonts w:ascii="Calibri" w:eastAsia="Calibri" w:hAnsi="Calibri" w:cs="Calibri"/>
          <w:bCs/>
          <w:lang w:val="cs-CZ"/>
        </w:rPr>
        <w:t>odolaly tlaku a zaznamenaly nárůst v průměru o 1,5 %.</w:t>
      </w:r>
    </w:p>
    <w:p w14:paraId="5E813693" w14:textId="77777777" w:rsidR="008E33AB" w:rsidRDefault="008E33AB" w:rsidP="000C5660">
      <w:pPr>
        <w:jc w:val="both"/>
        <w:rPr>
          <w:rFonts w:ascii="Calibri" w:eastAsia="Calibri" w:hAnsi="Calibri" w:cs="Calibri"/>
          <w:bCs/>
          <w:lang w:val="cs-CZ"/>
        </w:rPr>
      </w:pPr>
    </w:p>
    <w:p w14:paraId="1E1799D8" w14:textId="317749E4" w:rsidR="008E33AB" w:rsidRDefault="00CD657E" w:rsidP="000C5660">
      <w:pPr>
        <w:jc w:val="both"/>
        <w:rPr>
          <w:rFonts w:ascii="Calibri" w:eastAsia="Calibri" w:hAnsi="Calibri" w:cs="Calibri"/>
          <w:b/>
          <w:bCs/>
          <w:lang w:val="cs-CZ"/>
        </w:rPr>
      </w:pPr>
      <w:r w:rsidRPr="00CD657E">
        <w:rPr>
          <w:rFonts w:ascii="Calibri" w:eastAsia="Calibri" w:hAnsi="Calibri" w:cs="Calibri"/>
          <w:b/>
          <w:bCs/>
          <w:lang w:val="cs-CZ"/>
        </w:rPr>
        <w:t>Návštěvnost</w:t>
      </w:r>
      <w:r w:rsidR="00E549A3">
        <w:rPr>
          <w:rFonts w:ascii="Calibri" w:eastAsia="Calibri" w:hAnsi="Calibri" w:cs="Calibri"/>
          <w:b/>
          <w:bCs/>
          <w:lang w:val="cs-CZ"/>
        </w:rPr>
        <w:t xml:space="preserve"> OC v průměru klesla o téměř 30 %</w:t>
      </w:r>
    </w:p>
    <w:p w14:paraId="7E3D9F86" w14:textId="17309797" w:rsidR="00357C8A" w:rsidRDefault="00667DEA" w:rsidP="00667DEA">
      <w:pPr>
        <w:jc w:val="both"/>
        <w:rPr>
          <w:rFonts w:ascii="Calibri" w:eastAsia="Calibri" w:hAnsi="Calibri" w:cs="Calibri"/>
          <w:bCs/>
          <w:lang w:val="cs-CZ"/>
        </w:rPr>
      </w:pPr>
      <w:r w:rsidRPr="00667DEA">
        <w:rPr>
          <w:rFonts w:ascii="Calibri" w:eastAsia="Calibri" w:hAnsi="Calibri" w:cs="Calibri"/>
          <w:bCs/>
          <w:lang w:val="cs-CZ"/>
        </w:rPr>
        <w:t xml:space="preserve">Celková roční návštěvnost v nákupních centrech zastoupených v Shopping Center Indexu překročila </w:t>
      </w:r>
      <w:r w:rsidR="002C47E3" w:rsidRPr="00667DEA">
        <w:rPr>
          <w:rFonts w:ascii="Calibri" w:eastAsia="Calibri" w:hAnsi="Calibri" w:cs="Calibri"/>
          <w:bCs/>
          <w:lang w:val="cs-CZ"/>
        </w:rPr>
        <w:t>v roce 2020</w:t>
      </w:r>
      <w:r w:rsidR="002C47E3">
        <w:rPr>
          <w:rFonts w:ascii="Calibri" w:eastAsia="Calibri" w:hAnsi="Calibri" w:cs="Calibri"/>
          <w:bCs/>
          <w:lang w:val="cs-CZ"/>
        </w:rPr>
        <w:t xml:space="preserve"> </w:t>
      </w:r>
      <w:r w:rsidRPr="00667DEA">
        <w:rPr>
          <w:rFonts w:ascii="Calibri" w:eastAsia="Calibri" w:hAnsi="Calibri" w:cs="Calibri"/>
          <w:bCs/>
          <w:lang w:val="cs-CZ"/>
        </w:rPr>
        <w:t>hrani</w:t>
      </w:r>
      <w:r w:rsidR="00861C9C">
        <w:rPr>
          <w:rFonts w:ascii="Calibri" w:eastAsia="Calibri" w:hAnsi="Calibri" w:cs="Calibri"/>
          <w:bCs/>
          <w:lang w:val="cs-CZ"/>
        </w:rPr>
        <w:t>ci 66 milionů, což představovalo</w:t>
      </w:r>
      <w:r w:rsidRPr="00667DEA">
        <w:rPr>
          <w:rFonts w:ascii="Calibri" w:eastAsia="Calibri" w:hAnsi="Calibri" w:cs="Calibri"/>
          <w:bCs/>
          <w:lang w:val="cs-CZ"/>
        </w:rPr>
        <w:t xml:space="preserve"> 127 zákazní</w:t>
      </w:r>
      <w:r w:rsidR="00E91315">
        <w:rPr>
          <w:rFonts w:ascii="Calibri" w:eastAsia="Calibri" w:hAnsi="Calibri" w:cs="Calibri"/>
          <w:bCs/>
          <w:lang w:val="cs-CZ"/>
        </w:rPr>
        <w:t>ků na metr čtvereční a</w:t>
      </w:r>
      <w:r w:rsidR="000F0C45">
        <w:rPr>
          <w:rFonts w:ascii="Calibri" w:eastAsia="Calibri" w:hAnsi="Calibri" w:cs="Calibri"/>
          <w:bCs/>
          <w:lang w:val="cs-CZ"/>
        </w:rPr>
        <w:t> </w:t>
      </w:r>
      <w:r w:rsidR="00E91315">
        <w:rPr>
          <w:rFonts w:ascii="Calibri" w:eastAsia="Calibri" w:hAnsi="Calibri" w:cs="Calibri"/>
          <w:bCs/>
          <w:lang w:val="cs-CZ"/>
        </w:rPr>
        <w:t>meziroční</w:t>
      </w:r>
      <w:r w:rsidRPr="00667DEA">
        <w:rPr>
          <w:rFonts w:ascii="Calibri" w:eastAsia="Calibri" w:hAnsi="Calibri" w:cs="Calibri"/>
          <w:bCs/>
          <w:lang w:val="cs-CZ"/>
        </w:rPr>
        <w:t xml:space="preserve"> pokles o 29</w:t>
      </w:r>
      <w:r w:rsidR="00E91315">
        <w:rPr>
          <w:rFonts w:ascii="Calibri" w:eastAsia="Calibri" w:hAnsi="Calibri" w:cs="Calibri"/>
          <w:bCs/>
          <w:lang w:val="cs-CZ"/>
        </w:rPr>
        <w:t xml:space="preserve"> </w:t>
      </w:r>
      <w:r w:rsidRPr="00667DEA">
        <w:rPr>
          <w:rFonts w:ascii="Calibri" w:eastAsia="Calibri" w:hAnsi="Calibri" w:cs="Calibri"/>
          <w:bCs/>
          <w:lang w:val="cs-CZ"/>
        </w:rPr>
        <w:t>%.</w:t>
      </w:r>
      <w:r w:rsidR="00A6513F">
        <w:rPr>
          <w:rFonts w:ascii="Calibri" w:eastAsia="Calibri" w:hAnsi="Calibri" w:cs="Calibri"/>
          <w:bCs/>
          <w:lang w:val="cs-CZ"/>
        </w:rPr>
        <w:t xml:space="preserve"> </w:t>
      </w:r>
      <w:r w:rsidRPr="00667DEA">
        <w:rPr>
          <w:rFonts w:ascii="Calibri" w:eastAsia="Calibri" w:hAnsi="Calibri" w:cs="Calibri"/>
          <w:bCs/>
          <w:lang w:val="cs-CZ"/>
        </w:rPr>
        <w:t xml:space="preserve">Začátek roku </w:t>
      </w:r>
      <w:r w:rsidR="00A6513F">
        <w:rPr>
          <w:rFonts w:ascii="Calibri" w:eastAsia="Calibri" w:hAnsi="Calibri" w:cs="Calibri"/>
          <w:bCs/>
          <w:lang w:val="cs-CZ"/>
        </w:rPr>
        <w:t>ještě</w:t>
      </w:r>
      <w:r w:rsidRPr="00667DEA">
        <w:rPr>
          <w:rFonts w:ascii="Calibri" w:eastAsia="Calibri" w:hAnsi="Calibri" w:cs="Calibri"/>
          <w:bCs/>
          <w:lang w:val="cs-CZ"/>
        </w:rPr>
        <w:t xml:space="preserve"> vykázal podobnou dyna</w:t>
      </w:r>
      <w:r w:rsidR="00E91315">
        <w:rPr>
          <w:rFonts w:ascii="Calibri" w:eastAsia="Calibri" w:hAnsi="Calibri" w:cs="Calibri"/>
          <w:bCs/>
          <w:lang w:val="cs-CZ"/>
        </w:rPr>
        <w:t>miku jako v předchozích letech, n</w:t>
      </w:r>
      <w:r w:rsidRPr="00667DEA">
        <w:rPr>
          <w:rFonts w:ascii="Calibri" w:eastAsia="Calibri" w:hAnsi="Calibri" w:cs="Calibri"/>
          <w:bCs/>
          <w:lang w:val="cs-CZ"/>
        </w:rPr>
        <w:t>icméně uzavření obchodů a služeb během prvního lockdownu způsob</w:t>
      </w:r>
      <w:r w:rsidR="00A6513F">
        <w:rPr>
          <w:rFonts w:ascii="Calibri" w:eastAsia="Calibri" w:hAnsi="Calibri" w:cs="Calibri"/>
          <w:bCs/>
          <w:lang w:val="cs-CZ"/>
        </w:rPr>
        <w:t xml:space="preserve">ilo fatální pokles návštěvnosti. Ta </w:t>
      </w:r>
      <w:r w:rsidR="00311B1F">
        <w:rPr>
          <w:rFonts w:ascii="Calibri" w:eastAsia="Calibri" w:hAnsi="Calibri" w:cs="Calibri"/>
          <w:bCs/>
          <w:lang w:val="cs-CZ"/>
        </w:rPr>
        <w:t xml:space="preserve">byla </w:t>
      </w:r>
      <w:r w:rsidRPr="00667DEA">
        <w:rPr>
          <w:rFonts w:ascii="Calibri" w:eastAsia="Calibri" w:hAnsi="Calibri" w:cs="Calibri"/>
          <w:bCs/>
          <w:lang w:val="cs-CZ"/>
        </w:rPr>
        <w:t>v dubnu o 67</w:t>
      </w:r>
      <w:r w:rsidR="00E91315">
        <w:rPr>
          <w:rFonts w:ascii="Calibri" w:eastAsia="Calibri" w:hAnsi="Calibri" w:cs="Calibri"/>
          <w:bCs/>
          <w:lang w:val="cs-CZ"/>
        </w:rPr>
        <w:t xml:space="preserve"> </w:t>
      </w:r>
      <w:r w:rsidRPr="00667DEA">
        <w:rPr>
          <w:rFonts w:ascii="Calibri" w:eastAsia="Calibri" w:hAnsi="Calibri" w:cs="Calibri"/>
          <w:bCs/>
          <w:lang w:val="cs-CZ"/>
        </w:rPr>
        <w:t xml:space="preserve">% </w:t>
      </w:r>
      <w:r w:rsidR="00311B1F">
        <w:rPr>
          <w:rFonts w:ascii="Calibri" w:eastAsia="Calibri" w:hAnsi="Calibri" w:cs="Calibri"/>
          <w:bCs/>
          <w:lang w:val="cs-CZ"/>
        </w:rPr>
        <w:t xml:space="preserve">menší </w:t>
      </w:r>
      <w:r w:rsidRPr="00667DEA">
        <w:rPr>
          <w:rFonts w:ascii="Calibri" w:eastAsia="Calibri" w:hAnsi="Calibri" w:cs="Calibri"/>
          <w:bCs/>
          <w:lang w:val="cs-CZ"/>
        </w:rPr>
        <w:t xml:space="preserve">než v roce 2019. </w:t>
      </w:r>
      <w:r w:rsidR="00A6513F">
        <w:rPr>
          <w:rFonts w:ascii="Calibri" w:eastAsia="Calibri" w:hAnsi="Calibri" w:cs="Calibri"/>
          <w:bCs/>
          <w:lang w:val="cs-CZ"/>
        </w:rPr>
        <w:t>V květnu, kdy proběhlo postupné</w:t>
      </w:r>
      <w:r w:rsidRPr="00667DEA">
        <w:rPr>
          <w:rFonts w:ascii="Calibri" w:eastAsia="Calibri" w:hAnsi="Calibri" w:cs="Calibri"/>
          <w:bCs/>
          <w:lang w:val="cs-CZ"/>
        </w:rPr>
        <w:t xml:space="preserve"> rozvolňování, se situace</w:t>
      </w:r>
      <w:r w:rsidR="00874333">
        <w:rPr>
          <w:rFonts w:ascii="Calibri" w:eastAsia="Calibri" w:hAnsi="Calibri" w:cs="Calibri"/>
          <w:bCs/>
          <w:lang w:val="cs-CZ"/>
        </w:rPr>
        <w:t xml:space="preserve"> o něco</w:t>
      </w:r>
      <w:r w:rsidRPr="00667DEA">
        <w:rPr>
          <w:rFonts w:ascii="Calibri" w:eastAsia="Calibri" w:hAnsi="Calibri" w:cs="Calibri"/>
          <w:bCs/>
          <w:lang w:val="cs-CZ"/>
        </w:rPr>
        <w:t xml:space="preserve"> zlepšila, ale i přesto se návštěvnost pohybovala </w:t>
      </w:r>
      <w:r w:rsidR="0016686E">
        <w:rPr>
          <w:rFonts w:ascii="Calibri" w:eastAsia="Calibri" w:hAnsi="Calibri" w:cs="Calibri"/>
          <w:bCs/>
          <w:lang w:val="cs-CZ"/>
        </w:rPr>
        <w:t>na hodnotách o</w:t>
      </w:r>
      <w:r w:rsidR="000F0C45">
        <w:rPr>
          <w:rFonts w:ascii="Calibri" w:eastAsia="Calibri" w:hAnsi="Calibri" w:cs="Calibri"/>
          <w:bCs/>
          <w:lang w:val="cs-CZ"/>
        </w:rPr>
        <w:t> </w:t>
      </w:r>
      <w:r w:rsidR="0016686E">
        <w:rPr>
          <w:rFonts w:ascii="Calibri" w:eastAsia="Calibri" w:hAnsi="Calibri" w:cs="Calibri"/>
          <w:bCs/>
          <w:lang w:val="cs-CZ"/>
        </w:rPr>
        <w:t>15</w:t>
      </w:r>
      <w:r w:rsidR="000F0C45">
        <w:rPr>
          <w:rFonts w:ascii="Calibri" w:eastAsia="Calibri" w:hAnsi="Calibri" w:cs="Calibri"/>
          <w:bCs/>
          <w:lang w:val="cs-CZ"/>
        </w:rPr>
        <w:t> </w:t>
      </w:r>
      <w:r w:rsidR="0016686E">
        <w:rPr>
          <w:rFonts w:ascii="Calibri" w:eastAsia="Calibri" w:hAnsi="Calibri" w:cs="Calibri"/>
          <w:bCs/>
          <w:lang w:val="cs-CZ"/>
        </w:rPr>
        <w:t>až 20 % ni</w:t>
      </w:r>
      <w:r w:rsidR="00E91315">
        <w:rPr>
          <w:rFonts w:ascii="Calibri" w:eastAsia="Calibri" w:hAnsi="Calibri" w:cs="Calibri"/>
          <w:bCs/>
          <w:lang w:val="cs-CZ"/>
        </w:rPr>
        <w:t>žší</w:t>
      </w:r>
      <w:r w:rsidR="0016686E">
        <w:rPr>
          <w:rFonts w:ascii="Calibri" w:eastAsia="Calibri" w:hAnsi="Calibri" w:cs="Calibri"/>
          <w:bCs/>
          <w:lang w:val="cs-CZ"/>
        </w:rPr>
        <w:t>ch</w:t>
      </w:r>
      <w:r w:rsidRPr="00667DEA">
        <w:rPr>
          <w:rFonts w:ascii="Calibri" w:eastAsia="Calibri" w:hAnsi="Calibri" w:cs="Calibri"/>
          <w:bCs/>
          <w:lang w:val="cs-CZ"/>
        </w:rPr>
        <w:t xml:space="preserve"> než pře</w:t>
      </w:r>
      <w:r w:rsidR="00D7586D">
        <w:rPr>
          <w:rFonts w:ascii="Calibri" w:eastAsia="Calibri" w:hAnsi="Calibri" w:cs="Calibri"/>
          <w:bCs/>
          <w:lang w:val="cs-CZ"/>
        </w:rPr>
        <w:t>d</w:t>
      </w:r>
      <w:r w:rsidRPr="00667DEA">
        <w:rPr>
          <w:rFonts w:ascii="Calibri" w:eastAsia="Calibri" w:hAnsi="Calibri" w:cs="Calibri"/>
          <w:bCs/>
          <w:lang w:val="cs-CZ"/>
        </w:rPr>
        <w:t>chozí rok. Důvodů</w:t>
      </w:r>
      <w:r w:rsidR="00861C9C">
        <w:rPr>
          <w:rFonts w:ascii="Calibri" w:eastAsia="Calibri" w:hAnsi="Calibri" w:cs="Calibri"/>
          <w:bCs/>
          <w:lang w:val="cs-CZ"/>
        </w:rPr>
        <w:t xml:space="preserve"> bylo </w:t>
      </w:r>
      <w:r w:rsidR="00874333">
        <w:rPr>
          <w:rFonts w:ascii="Calibri" w:eastAsia="Calibri" w:hAnsi="Calibri" w:cs="Calibri"/>
          <w:bCs/>
          <w:lang w:val="cs-CZ"/>
        </w:rPr>
        <w:t>několik</w:t>
      </w:r>
      <w:r w:rsidRPr="00667DEA">
        <w:rPr>
          <w:rFonts w:ascii="Calibri" w:eastAsia="Calibri" w:hAnsi="Calibri" w:cs="Calibri"/>
          <w:bCs/>
          <w:lang w:val="cs-CZ"/>
        </w:rPr>
        <w:t>: neochota li</w:t>
      </w:r>
      <w:r w:rsidR="00874333">
        <w:rPr>
          <w:rFonts w:ascii="Calibri" w:eastAsia="Calibri" w:hAnsi="Calibri" w:cs="Calibri"/>
          <w:bCs/>
          <w:lang w:val="cs-CZ"/>
        </w:rPr>
        <w:t>dí navštěvovat veřejné prostory</w:t>
      </w:r>
      <w:r w:rsidR="00311B1F">
        <w:rPr>
          <w:rFonts w:ascii="Calibri" w:eastAsia="Calibri" w:hAnsi="Calibri" w:cs="Calibri"/>
          <w:bCs/>
          <w:lang w:val="cs-CZ"/>
        </w:rPr>
        <w:t>,</w:t>
      </w:r>
      <w:r w:rsidR="00874333">
        <w:rPr>
          <w:rFonts w:ascii="Calibri" w:eastAsia="Calibri" w:hAnsi="Calibri" w:cs="Calibri"/>
          <w:bCs/>
          <w:lang w:val="cs-CZ"/>
        </w:rPr>
        <w:t xml:space="preserve"> ochranná opatření, </w:t>
      </w:r>
      <w:r w:rsidRPr="00667DEA">
        <w:rPr>
          <w:rFonts w:ascii="Calibri" w:eastAsia="Calibri" w:hAnsi="Calibri" w:cs="Calibri"/>
          <w:bCs/>
          <w:lang w:val="cs-CZ"/>
        </w:rPr>
        <w:t>obavy z blížící se rece</w:t>
      </w:r>
      <w:r w:rsidR="00861C9C">
        <w:rPr>
          <w:rFonts w:ascii="Calibri" w:eastAsia="Calibri" w:hAnsi="Calibri" w:cs="Calibri"/>
          <w:bCs/>
          <w:lang w:val="cs-CZ"/>
        </w:rPr>
        <w:t>se a také</w:t>
      </w:r>
      <w:r w:rsidRPr="00667DEA">
        <w:rPr>
          <w:rFonts w:ascii="Calibri" w:eastAsia="Calibri" w:hAnsi="Calibri" w:cs="Calibri"/>
          <w:bCs/>
          <w:lang w:val="cs-CZ"/>
        </w:rPr>
        <w:t xml:space="preserve"> zvýšená poptávka po</w:t>
      </w:r>
      <w:r w:rsidR="000F0C45">
        <w:rPr>
          <w:rFonts w:ascii="Calibri" w:eastAsia="Calibri" w:hAnsi="Calibri" w:cs="Calibri"/>
          <w:bCs/>
          <w:lang w:val="cs-CZ"/>
        </w:rPr>
        <w:t> </w:t>
      </w:r>
      <w:r w:rsidRPr="00667DEA">
        <w:rPr>
          <w:rFonts w:ascii="Calibri" w:eastAsia="Calibri" w:hAnsi="Calibri" w:cs="Calibri"/>
          <w:bCs/>
          <w:lang w:val="cs-CZ"/>
        </w:rPr>
        <w:t xml:space="preserve">online nakupování. </w:t>
      </w:r>
      <w:r w:rsidR="00063073">
        <w:rPr>
          <w:rFonts w:ascii="Calibri" w:eastAsia="Calibri" w:hAnsi="Calibri" w:cs="Calibri"/>
          <w:bCs/>
          <w:lang w:val="cs-CZ"/>
        </w:rPr>
        <w:t xml:space="preserve">Během letních měsíců se však návštěvnost vyvíjela rostoucím trendem a v druhé </w:t>
      </w:r>
      <w:r w:rsidR="00063073">
        <w:rPr>
          <w:rFonts w:ascii="Calibri" w:eastAsia="Calibri" w:hAnsi="Calibri" w:cs="Calibri"/>
          <w:bCs/>
          <w:lang w:val="cs-CZ"/>
        </w:rPr>
        <w:lastRenderedPageBreak/>
        <w:t>polovině srpna dokonce dosahovala takřka podobné úrovně jako v roce 2019. Poté ale přišla druhá vlna, kdy se</w:t>
      </w:r>
      <w:r w:rsidRPr="00063073">
        <w:rPr>
          <w:rFonts w:ascii="Calibri" w:eastAsia="Calibri" w:hAnsi="Calibri" w:cs="Calibri"/>
          <w:bCs/>
          <w:lang w:val="cs-CZ"/>
        </w:rPr>
        <w:t xml:space="preserve"> velká část obchodů a služeb znovu uzavře</w:t>
      </w:r>
      <w:r w:rsidR="00063073">
        <w:rPr>
          <w:rFonts w:ascii="Calibri" w:eastAsia="Calibri" w:hAnsi="Calibri" w:cs="Calibri"/>
          <w:bCs/>
          <w:lang w:val="cs-CZ"/>
        </w:rPr>
        <w:t>la</w:t>
      </w:r>
      <w:r w:rsidRPr="00063073">
        <w:rPr>
          <w:rFonts w:ascii="Calibri" w:eastAsia="Calibri" w:hAnsi="Calibri" w:cs="Calibri"/>
          <w:bCs/>
          <w:lang w:val="cs-CZ"/>
        </w:rPr>
        <w:t xml:space="preserve">, což </w:t>
      </w:r>
      <w:r w:rsidR="00063073">
        <w:rPr>
          <w:rFonts w:ascii="Calibri" w:eastAsia="Calibri" w:hAnsi="Calibri" w:cs="Calibri"/>
          <w:bCs/>
          <w:lang w:val="cs-CZ"/>
        </w:rPr>
        <w:t xml:space="preserve">mělo za následek </w:t>
      </w:r>
      <w:r w:rsidRPr="00063073">
        <w:rPr>
          <w:rFonts w:ascii="Calibri" w:eastAsia="Calibri" w:hAnsi="Calibri" w:cs="Calibri"/>
          <w:bCs/>
          <w:lang w:val="cs-CZ"/>
        </w:rPr>
        <w:t xml:space="preserve">v listopadu </w:t>
      </w:r>
      <w:r w:rsidR="00874333" w:rsidRPr="00063073">
        <w:rPr>
          <w:rFonts w:ascii="Calibri" w:eastAsia="Calibri" w:hAnsi="Calibri" w:cs="Calibri"/>
          <w:bCs/>
          <w:lang w:val="cs-CZ"/>
        </w:rPr>
        <w:t xml:space="preserve">2020 </w:t>
      </w:r>
      <w:r w:rsidRPr="00063073">
        <w:rPr>
          <w:rFonts w:ascii="Calibri" w:eastAsia="Calibri" w:hAnsi="Calibri" w:cs="Calibri"/>
          <w:bCs/>
          <w:lang w:val="cs-CZ"/>
        </w:rPr>
        <w:t>meziroční pokles návštěvnosti o 6</w:t>
      </w:r>
      <w:r w:rsidR="00311B1F" w:rsidRPr="00063073">
        <w:rPr>
          <w:rFonts w:ascii="Calibri" w:eastAsia="Calibri" w:hAnsi="Calibri" w:cs="Calibri"/>
          <w:bCs/>
          <w:lang w:val="cs-CZ"/>
        </w:rPr>
        <w:t>3</w:t>
      </w:r>
      <w:r w:rsidRPr="00063073">
        <w:rPr>
          <w:rFonts w:ascii="Calibri" w:eastAsia="Calibri" w:hAnsi="Calibri" w:cs="Calibri"/>
          <w:bCs/>
          <w:lang w:val="cs-CZ"/>
        </w:rPr>
        <w:t xml:space="preserve"> %. V prosinci </w:t>
      </w:r>
      <w:r w:rsidR="00874333" w:rsidRPr="00063073">
        <w:rPr>
          <w:rFonts w:ascii="Calibri" w:eastAsia="Calibri" w:hAnsi="Calibri" w:cs="Calibri"/>
          <w:bCs/>
          <w:lang w:val="cs-CZ"/>
        </w:rPr>
        <w:t>se obchody znovu otevře</w:t>
      </w:r>
      <w:r w:rsidR="00874333">
        <w:rPr>
          <w:rFonts w:ascii="Calibri" w:eastAsia="Calibri" w:hAnsi="Calibri" w:cs="Calibri"/>
          <w:bCs/>
          <w:lang w:val="cs-CZ"/>
        </w:rPr>
        <w:t>ly</w:t>
      </w:r>
      <w:r w:rsidRPr="00667DEA">
        <w:rPr>
          <w:rFonts w:ascii="Calibri" w:eastAsia="Calibri" w:hAnsi="Calibri" w:cs="Calibri"/>
          <w:bCs/>
          <w:lang w:val="cs-CZ"/>
        </w:rPr>
        <w:t>, nicméně očekávání ohledně vánoční</w:t>
      </w:r>
      <w:r w:rsidR="00874333">
        <w:rPr>
          <w:rFonts w:ascii="Calibri" w:eastAsia="Calibri" w:hAnsi="Calibri" w:cs="Calibri"/>
          <w:bCs/>
          <w:lang w:val="cs-CZ"/>
        </w:rPr>
        <w:t xml:space="preserve">ch nákupů </w:t>
      </w:r>
      <w:r w:rsidRPr="00667DEA">
        <w:rPr>
          <w:rFonts w:ascii="Calibri" w:eastAsia="Calibri" w:hAnsi="Calibri" w:cs="Calibri"/>
          <w:bCs/>
          <w:lang w:val="cs-CZ"/>
        </w:rPr>
        <w:t>se nenaplnil</w:t>
      </w:r>
      <w:r w:rsidR="00D7586D">
        <w:rPr>
          <w:rFonts w:ascii="Calibri" w:eastAsia="Calibri" w:hAnsi="Calibri" w:cs="Calibri"/>
          <w:bCs/>
          <w:lang w:val="cs-CZ"/>
        </w:rPr>
        <w:t>a</w:t>
      </w:r>
      <w:r w:rsidRPr="00667DEA">
        <w:rPr>
          <w:rFonts w:ascii="Calibri" w:eastAsia="Calibri" w:hAnsi="Calibri" w:cs="Calibri"/>
          <w:bCs/>
          <w:lang w:val="cs-CZ"/>
        </w:rPr>
        <w:t xml:space="preserve"> a návštěvnost zůstala </w:t>
      </w:r>
      <w:r w:rsidR="00874333">
        <w:rPr>
          <w:rFonts w:ascii="Calibri" w:eastAsia="Calibri" w:hAnsi="Calibri" w:cs="Calibri"/>
          <w:bCs/>
          <w:lang w:val="cs-CZ"/>
        </w:rPr>
        <w:t>o</w:t>
      </w:r>
      <w:r w:rsidRPr="00667DEA">
        <w:rPr>
          <w:rFonts w:ascii="Calibri" w:eastAsia="Calibri" w:hAnsi="Calibri" w:cs="Calibri"/>
          <w:bCs/>
          <w:lang w:val="cs-CZ"/>
        </w:rPr>
        <w:t xml:space="preserve"> 29</w:t>
      </w:r>
      <w:r w:rsidR="006727DC">
        <w:rPr>
          <w:rFonts w:ascii="Calibri" w:eastAsia="Calibri" w:hAnsi="Calibri" w:cs="Calibri"/>
          <w:bCs/>
          <w:lang w:val="cs-CZ"/>
        </w:rPr>
        <w:t> </w:t>
      </w:r>
      <w:r w:rsidRPr="00667DEA">
        <w:rPr>
          <w:rFonts w:ascii="Calibri" w:eastAsia="Calibri" w:hAnsi="Calibri" w:cs="Calibri"/>
          <w:bCs/>
          <w:lang w:val="cs-CZ"/>
        </w:rPr>
        <w:t xml:space="preserve">% </w:t>
      </w:r>
      <w:r w:rsidR="00874333">
        <w:rPr>
          <w:rFonts w:ascii="Calibri" w:eastAsia="Calibri" w:hAnsi="Calibri" w:cs="Calibri"/>
          <w:bCs/>
          <w:lang w:val="cs-CZ"/>
        </w:rPr>
        <w:t xml:space="preserve">nižší </w:t>
      </w:r>
      <w:r w:rsidR="00D7586D">
        <w:rPr>
          <w:rFonts w:ascii="Calibri" w:eastAsia="Calibri" w:hAnsi="Calibri" w:cs="Calibri"/>
          <w:bCs/>
          <w:lang w:val="cs-CZ"/>
        </w:rPr>
        <w:t xml:space="preserve">než </w:t>
      </w:r>
      <w:r w:rsidR="0016686E">
        <w:rPr>
          <w:rFonts w:ascii="Calibri" w:eastAsia="Calibri" w:hAnsi="Calibri" w:cs="Calibri"/>
          <w:bCs/>
          <w:lang w:val="cs-CZ"/>
        </w:rPr>
        <w:t>o rok dříve</w:t>
      </w:r>
      <w:r w:rsidRPr="00667DEA">
        <w:rPr>
          <w:rFonts w:ascii="Calibri" w:eastAsia="Calibri" w:hAnsi="Calibri" w:cs="Calibri"/>
          <w:bCs/>
          <w:lang w:val="cs-CZ"/>
        </w:rPr>
        <w:t xml:space="preserve">. Po </w:t>
      </w:r>
      <w:r w:rsidR="00D7586D">
        <w:rPr>
          <w:rFonts w:ascii="Calibri" w:eastAsia="Calibri" w:hAnsi="Calibri" w:cs="Calibri"/>
          <w:bCs/>
          <w:lang w:val="cs-CZ"/>
        </w:rPr>
        <w:t xml:space="preserve">vánočních svátcích </w:t>
      </w:r>
      <w:r w:rsidRPr="00667DEA">
        <w:rPr>
          <w:rFonts w:ascii="Calibri" w:eastAsia="Calibri" w:hAnsi="Calibri" w:cs="Calibri"/>
          <w:bCs/>
          <w:lang w:val="cs-CZ"/>
        </w:rPr>
        <w:t>došlo k</w:t>
      </w:r>
      <w:r w:rsidR="0016686E">
        <w:rPr>
          <w:rFonts w:ascii="Calibri" w:eastAsia="Calibri" w:hAnsi="Calibri" w:cs="Calibri"/>
          <w:bCs/>
          <w:lang w:val="cs-CZ"/>
        </w:rPr>
        <w:t> </w:t>
      </w:r>
      <w:r w:rsidRPr="00667DEA">
        <w:rPr>
          <w:rFonts w:ascii="Calibri" w:eastAsia="Calibri" w:hAnsi="Calibri" w:cs="Calibri"/>
          <w:bCs/>
          <w:lang w:val="cs-CZ"/>
        </w:rPr>
        <w:t>dalšímu</w:t>
      </w:r>
      <w:r w:rsidR="0016686E">
        <w:rPr>
          <w:rFonts w:ascii="Calibri" w:eastAsia="Calibri" w:hAnsi="Calibri" w:cs="Calibri"/>
          <w:bCs/>
          <w:lang w:val="cs-CZ"/>
        </w:rPr>
        <w:t xml:space="preserve"> tvrdému</w:t>
      </w:r>
      <w:r w:rsidRPr="00667DEA">
        <w:rPr>
          <w:rFonts w:ascii="Calibri" w:eastAsia="Calibri" w:hAnsi="Calibri" w:cs="Calibri"/>
          <w:bCs/>
          <w:lang w:val="cs-CZ"/>
        </w:rPr>
        <w:t xml:space="preserve"> </w:t>
      </w:r>
      <w:r w:rsidR="00874333">
        <w:rPr>
          <w:rFonts w:ascii="Calibri" w:eastAsia="Calibri" w:hAnsi="Calibri" w:cs="Calibri"/>
          <w:bCs/>
          <w:lang w:val="cs-CZ"/>
        </w:rPr>
        <w:t>lockdownu, který</w:t>
      </w:r>
      <w:r w:rsidR="000F0C45">
        <w:rPr>
          <w:rFonts w:ascii="Calibri" w:eastAsia="Calibri" w:hAnsi="Calibri" w:cs="Calibri"/>
          <w:bCs/>
          <w:lang w:val="cs-CZ"/>
        </w:rPr>
        <w:t> </w:t>
      </w:r>
      <w:r w:rsidR="00874333">
        <w:rPr>
          <w:rFonts w:ascii="Calibri" w:eastAsia="Calibri" w:hAnsi="Calibri" w:cs="Calibri"/>
          <w:bCs/>
          <w:lang w:val="cs-CZ"/>
        </w:rPr>
        <w:t>až</w:t>
      </w:r>
      <w:r w:rsidR="000F0C45">
        <w:rPr>
          <w:rFonts w:ascii="Calibri" w:eastAsia="Calibri" w:hAnsi="Calibri" w:cs="Calibri"/>
          <w:bCs/>
          <w:lang w:val="cs-CZ"/>
        </w:rPr>
        <w:t> </w:t>
      </w:r>
      <w:r w:rsidR="00874333">
        <w:rPr>
          <w:rFonts w:ascii="Calibri" w:eastAsia="Calibri" w:hAnsi="Calibri" w:cs="Calibri"/>
          <w:bCs/>
          <w:lang w:val="cs-CZ"/>
        </w:rPr>
        <w:t>na</w:t>
      </w:r>
      <w:r w:rsidR="000F0C45">
        <w:rPr>
          <w:rFonts w:ascii="Calibri" w:eastAsia="Calibri" w:hAnsi="Calibri" w:cs="Calibri"/>
          <w:bCs/>
          <w:lang w:val="cs-CZ"/>
        </w:rPr>
        <w:t> </w:t>
      </w:r>
      <w:r w:rsidR="00874333">
        <w:rPr>
          <w:rFonts w:ascii="Calibri" w:eastAsia="Calibri" w:hAnsi="Calibri" w:cs="Calibri"/>
          <w:bCs/>
          <w:lang w:val="cs-CZ"/>
        </w:rPr>
        <w:t xml:space="preserve">výjimky trval </w:t>
      </w:r>
      <w:r w:rsidR="0016686E">
        <w:rPr>
          <w:rFonts w:ascii="Calibri" w:eastAsia="Calibri" w:hAnsi="Calibri" w:cs="Calibri"/>
          <w:bCs/>
          <w:lang w:val="cs-CZ"/>
        </w:rPr>
        <w:t>do</w:t>
      </w:r>
      <w:r w:rsidR="000D477B">
        <w:rPr>
          <w:rFonts w:ascii="Calibri" w:eastAsia="Calibri" w:hAnsi="Calibri" w:cs="Calibri"/>
          <w:bCs/>
          <w:lang w:val="cs-CZ"/>
        </w:rPr>
        <w:t> </w:t>
      </w:r>
      <w:r w:rsidR="00874333">
        <w:rPr>
          <w:rFonts w:ascii="Calibri" w:eastAsia="Calibri" w:hAnsi="Calibri" w:cs="Calibri"/>
          <w:bCs/>
          <w:lang w:val="cs-CZ"/>
        </w:rPr>
        <w:t>letošního května</w:t>
      </w:r>
      <w:r w:rsidRPr="00667DEA">
        <w:rPr>
          <w:rFonts w:ascii="Calibri" w:eastAsia="Calibri" w:hAnsi="Calibri" w:cs="Calibri"/>
          <w:bCs/>
          <w:lang w:val="cs-CZ"/>
        </w:rPr>
        <w:t>.</w:t>
      </w:r>
    </w:p>
    <w:p w14:paraId="79B8CEF2" w14:textId="77777777" w:rsidR="00357C8A" w:rsidRDefault="00357C8A" w:rsidP="00667DEA">
      <w:pPr>
        <w:jc w:val="both"/>
        <w:rPr>
          <w:rFonts w:ascii="Calibri" w:eastAsia="Calibri" w:hAnsi="Calibri" w:cs="Calibri"/>
          <w:bCs/>
          <w:lang w:val="cs-CZ"/>
        </w:rPr>
      </w:pPr>
    </w:p>
    <w:p w14:paraId="1E2786D8" w14:textId="2ED10147" w:rsidR="00667DEA" w:rsidRDefault="00641204" w:rsidP="00667DEA">
      <w:pPr>
        <w:jc w:val="both"/>
        <w:rPr>
          <w:rFonts w:ascii="Calibri" w:eastAsia="Calibri" w:hAnsi="Calibri" w:cs="Calibri"/>
          <w:bCs/>
          <w:lang w:val="cs-CZ"/>
        </w:rPr>
      </w:pPr>
      <w:r w:rsidRPr="00641204">
        <w:rPr>
          <w:rFonts w:ascii="Calibri" w:eastAsia="Calibri" w:hAnsi="Calibri" w:cs="Calibri"/>
          <w:bCs/>
          <w:i/>
          <w:lang w:val="cs-CZ"/>
        </w:rPr>
        <w:t>„</w:t>
      </w:r>
      <w:r w:rsidR="00667DEA" w:rsidRPr="00641204">
        <w:rPr>
          <w:rFonts w:ascii="Calibri" w:eastAsia="Calibri" w:hAnsi="Calibri" w:cs="Calibri"/>
          <w:bCs/>
          <w:i/>
          <w:lang w:val="cs-CZ"/>
        </w:rPr>
        <w:t xml:space="preserve">Stejně jako </w:t>
      </w:r>
      <w:r w:rsidR="00573CAC" w:rsidRPr="00641204">
        <w:rPr>
          <w:rFonts w:ascii="Calibri" w:eastAsia="Calibri" w:hAnsi="Calibri" w:cs="Calibri"/>
          <w:bCs/>
          <w:i/>
          <w:lang w:val="cs-CZ"/>
        </w:rPr>
        <w:t>obraty</w:t>
      </w:r>
      <w:r w:rsidR="00667DEA" w:rsidRPr="00641204">
        <w:rPr>
          <w:rFonts w:ascii="Calibri" w:eastAsia="Calibri" w:hAnsi="Calibri" w:cs="Calibri"/>
          <w:bCs/>
          <w:i/>
          <w:lang w:val="cs-CZ"/>
        </w:rPr>
        <w:t xml:space="preserve"> se i pokles návštěvnosti lišil v závislosti na konkrétních obchodních centrech. K</w:t>
      </w:r>
      <w:r w:rsidR="000F0C45">
        <w:rPr>
          <w:rFonts w:ascii="Calibri" w:eastAsia="Calibri" w:hAnsi="Calibri" w:cs="Calibri"/>
          <w:bCs/>
          <w:i/>
          <w:lang w:val="cs-CZ"/>
        </w:rPr>
        <w:t> </w:t>
      </w:r>
      <w:r w:rsidR="00667DEA" w:rsidRPr="00641204">
        <w:rPr>
          <w:rFonts w:ascii="Calibri" w:eastAsia="Calibri" w:hAnsi="Calibri" w:cs="Calibri"/>
          <w:bCs/>
          <w:i/>
          <w:lang w:val="cs-CZ"/>
        </w:rPr>
        <w:t>nejnižšímu poklesu – v cel</w:t>
      </w:r>
      <w:r w:rsidR="00573CAC" w:rsidRPr="00641204">
        <w:rPr>
          <w:rFonts w:ascii="Calibri" w:eastAsia="Calibri" w:hAnsi="Calibri" w:cs="Calibri"/>
          <w:bCs/>
          <w:i/>
          <w:lang w:val="cs-CZ"/>
        </w:rPr>
        <w:t>oročním průměru o 22 % - došlo v cent</w:t>
      </w:r>
      <w:r w:rsidR="00667DEA" w:rsidRPr="00641204">
        <w:rPr>
          <w:rFonts w:ascii="Calibri" w:eastAsia="Calibri" w:hAnsi="Calibri" w:cs="Calibri"/>
          <w:bCs/>
          <w:i/>
          <w:lang w:val="cs-CZ"/>
        </w:rPr>
        <w:t>r</w:t>
      </w:r>
      <w:r w:rsidR="00573CAC" w:rsidRPr="00641204">
        <w:rPr>
          <w:rFonts w:ascii="Calibri" w:eastAsia="Calibri" w:hAnsi="Calibri" w:cs="Calibri"/>
          <w:bCs/>
          <w:i/>
          <w:lang w:val="cs-CZ"/>
        </w:rPr>
        <w:t>ech</w:t>
      </w:r>
      <w:r w:rsidR="00667DEA" w:rsidRPr="00641204">
        <w:rPr>
          <w:rFonts w:ascii="Calibri" w:eastAsia="Calibri" w:hAnsi="Calibri" w:cs="Calibri"/>
          <w:bCs/>
          <w:i/>
          <w:lang w:val="cs-CZ"/>
        </w:rPr>
        <w:t xml:space="preserve"> s velkým podílem </w:t>
      </w:r>
      <w:r w:rsidR="00573CAC" w:rsidRPr="00641204">
        <w:rPr>
          <w:rFonts w:ascii="Calibri" w:eastAsia="Calibri" w:hAnsi="Calibri" w:cs="Calibri"/>
          <w:bCs/>
          <w:i/>
          <w:lang w:val="cs-CZ"/>
        </w:rPr>
        <w:t>jednotek se základními potřebami a služ</w:t>
      </w:r>
      <w:r w:rsidR="00667DEA" w:rsidRPr="00641204">
        <w:rPr>
          <w:rFonts w:ascii="Calibri" w:eastAsia="Calibri" w:hAnsi="Calibri" w:cs="Calibri"/>
          <w:bCs/>
          <w:i/>
          <w:lang w:val="cs-CZ"/>
        </w:rPr>
        <w:t>b</w:t>
      </w:r>
      <w:r w:rsidR="00573CAC" w:rsidRPr="00641204">
        <w:rPr>
          <w:rFonts w:ascii="Calibri" w:eastAsia="Calibri" w:hAnsi="Calibri" w:cs="Calibri"/>
          <w:bCs/>
          <w:i/>
          <w:lang w:val="cs-CZ"/>
        </w:rPr>
        <w:t>ami</w:t>
      </w:r>
      <w:r w:rsidR="003766EC">
        <w:rPr>
          <w:rFonts w:ascii="Calibri" w:eastAsia="Calibri" w:hAnsi="Calibri" w:cs="Calibri"/>
          <w:bCs/>
          <w:i/>
          <w:lang w:val="cs-CZ"/>
        </w:rPr>
        <w:t xml:space="preserve"> jako jsou </w:t>
      </w:r>
      <w:r w:rsidR="00667DEA" w:rsidRPr="00641204">
        <w:rPr>
          <w:rFonts w:ascii="Calibri" w:eastAsia="Calibri" w:hAnsi="Calibri" w:cs="Calibri"/>
          <w:bCs/>
          <w:i/>
          <w:lang w:val="cs-CZ"/>
        </w:rPr>
        <w:t>pot</w:t>
      </w:r>
      <w:r w:rsidR="003766EC">
        <w:rPr>
          <w:rFonts w:ascii="Calibri" w:eastAsia="Calibri" w:hAnsi="Calibri" w:cs="Calibri"/>
          <w:bCs/>
          <w:i/>
          <w:lang w:val="cs-CZ"/>
        </w:rPr>
        <w:t>raviny, drogerie, lékárny apod.</w:t>
      </w:r>
      <w:r w:rsidR="00667DEA" w:rsidRPr="00641204">
        <w:rPr>
          <w:rFonts w:ascii="Calibri" w:eastAsia="Calibri" w:hAnsi="Calibri" w:cs="Calibri"/>
          <w:bCs/>
          <w:i/>
          <w:lang w:val="cs-CZ"/>
        </w:rPr>
        <w:t xml:space="preserve">, které mohly být otevřeny bez omezení. Naopak největší pokles </w:t>
      </w:r>
      <w:r w:rsidR="00573CAC" w:rsidRPr="00641204">
        <w:rPr>
          <w:rFonts w:ascii="Calibri" w:eastAsia="Calibri" w:hAnsi="Calibri" w:cs="Calibri"/>
          <w:bCs/>
          <w:i/>
          <w:lang w:val="cs-CZ"/>
        </w:rPr>
        <w:t xml:space="preserve">až </w:t>
      </w:r>
      <w:r w:rsidR="00667DEA" w:rsidRPr="00641204">
        <w:rPr>
          <w:rFonts w:ascii="Calibri" w:eastAsia="Calibri" w:hAnsi="Calibri" w:cs="Calibri"/>
          <w:bCs/>
          <w:i/>
          <w:lang w:val="cs-CZ"/>
        </w:rPr>
        <w:t>o 32 % zaznamenaly zážitková nákupní centra s</w:t>
      </w:r>
      <w:r w:rsidR="000F0C45">
        <w:rPr>
          <w:rFonts w:ascii="Calibri" w:eastAsia="Calibri" w:hAnsi="Calibri" w:cs="Calibri"/>
          <w:bCs/>
          <w:i/>
          <w:lang w:val="cs-CZ"/>
        </w:rPr>
        <w:t> </w:t>
      </w:r>
      <w:r w:rsidR="00667DEA" w:rsidRPr="00641204">
        <w:rPr>
          <w:rFonts w:ascii="Calibri" w:eastAsia="Calibri" w:hAnsi="Calibri" w:cs="Calibri"/>
          <w:bCs/>
          <w:i/>
          <w:lang w:val="cs-CZ"/>
        </w:rPr>
        <w:t>rozsáhlým mixem nájemců a</w:t>
      </w:r>
      <w:r w:rsidRPr="00641204">
        <w:rPr>
          <w:rFonts w:ascii="Calibri" w:eastAsia="Calibri" w:hAnsi="Calibri" w:cs="Calibri"/>
          <w:bCs/>
          <w:i/>
          <w:lang w:val="cs-CZ"/>
        </w:rPr>
        <w:t xml:space="preserve"> nabídkou volnočasových aktivit,“</w:t>
      </w:r>
      <w:r>
        <w:rPr>
          <w:rFonts w:ascii="Calibri" w:eastAsia="Calibri" w:hAnsi="Calibri" w:cs="Calibri"/>
          <w:bCs/>
          <w:lang w:val="cs-CZ"/>
        </w:rPr>
        <w:t xml:space="preserve"> uvádí </w:t>
      </w:r>
      <w:r w:rsidR="006727DC" w:rsidRPr="006727DC">
        <w:rPr>
          <w:rFonts w:ascii="Calibri" w:eastAsia="Calibri" w:hAnsi="Calibri" w:cs="Calibri"/>
          <w:b/>
          <w:lang w:val="cs-CZ"/>
        </w:rPr>
        <w:t>Jan Janáček</w:t>
      </w:r>
      <w:r w:rsidR="006727DC">
        <w:rPr>
          <w:rFonts w:ascii="Calibri" w:eastAsia="Calibri" w:hAnsi="Calibri" w:cs="Calibri"/>
          <w:bCs/>
          <w:lang w:val="cs-CZ"/>
        </w:rPr>
        <w:t xml:space="preserve">. </w:t>
      </w:r>
    </w:p>
    <w:p w14:paraId="0B45713E" w14:textId="1D8B6256" w:rsidR="0043531F" w:rsidRPr="00E549A3" w:rsidRDefault="00E549A3" w:rsidP="00667DEA">
      <w:pPr>
        <w:jc w:val="both"/>
        <w:rPr>
          <w:rFonts w:ascii="Calibri" w:eastAsia="Calibri" w:hAnsi="Calibri" w:cs="Calibri"/>
          <w:b/>
          <w:bCs/>
          <w:lang w:val="cs-CZ"/>
        </w:rPr>
      </w:pPr>
      <w:r>
        <w:rPr>
          <w:rFonts w:ascii="Calibri" w:eastAsia="Calibri" w:hAnsi="Calibri" w:cs="Calibri"/>
          <w:bCs/>
          <w:lang w:val="cs-CZ"/>
        </w:rPr>
        <w:br/>
      </w:r>
      <w:r>
        <w:rPr>
          <w:rFonts w:ascii="Calibri" w:eastAsia="Calibri" w:hAnsi="Calibri" w:cs="Calibri"/>
          <w:b/>
          <w:bCs/>
          <w:lang w:val="cs-CZ"/>
        </w:rPr>
        <w:t xml:space="preserve">Loňské pozitivum? </w:t>
      </w:r>
      <w:r w:rsidRPr="00E549A3">
        <w:rPr>
          <w:rFonts w:ascii="Calibri" w:eastAsia="Calibri" w:hAnsi="Calibri" w:cs="Calibri"/>
          <w:b/>
          <w:bCs/>
          <w:lang w:val="cs-CZ"/>
        </w:rPr>
        <w:t>Češi za jednu návštěvu</w:t>
      </w:r>
      <w:r>
        <w:rPr>
          <w:rFonts w:ascii="Calibri" w:eastAsia="Calibri" w:hAnsi="Calibri" w:cs="Calibri"/>
          <w:b/>
          <w:bCs/>
          <w:lang w:val="cs-CZ"/>
        </w:rPr>
        <w:t xml:space="preserve"> OC</w:t>
      </w:r>
      <w:r w:rsidRPr="00E549A3">
        <w:rPr>
          <w:rFonts w:ascii="Calibri" w:eastAsia="Calibri" w:hAnsi="Calibri" w:cs="Calibri"/>
          <w:b/>
          <w:bCs/>
          <w:lang w:val="cs-CZ"/>
        </w:rPr>
        <w:t xml:space="preserve"> utr</w:t>
      </w:r>
      <w:r>
        <w:rPr>
          <w:rFonts w:ascii="Calibri" w:eastAsia="Calibri" w:hAnsi="Calibri" w:cs="Calibri"/>
          <w:b/>
          <w:bCs/>
          <w:lang w:val="cs-CZ"/>
        </w:rPr>
        <w:t>atili</w:t>
      </w:r>
      <w:r w:rsidRPr="00E549A3">
        <w:rPr>
          <w:rFonts w:ascii="Calibri" w:eastAsia="Calibri" w:hAnsi="Calibri" w:cs="Calibri"/>
          <w:b/>
          <w:bCs/>
          <w:lang w:val="cs-CZ"/>
        </w:rPr>
        <w:t xml:space="preserve"> více</w:t>
      </w:r>
    </w:p>
    <w:p w14:paraId="6D6CD6A5" w14:textId="04FD511E" w:rsidR="00667DEA" w:rsidRPr="008B31A8" w:rsidRDefault="003766EC" w:rsidP="00667DEA">
      <w:pPr>
        <w:jc w:val="both"/>
        <w:rPr>
          <w:rFonts w:ascii="Calibri" w:eastAsia="Calibri" w:hAnsi="Calibri" w:cs="Calibri"/>
          <w:bCs/>
          <w:i/>
          <w:lang w:val="cs-CZ"/>
        </w:rPr>
      </w:pPr>
      <w:r>
        <w:rPr>
          <w:rFonts w:ascii="Calibri" w:eastAsia="Calibri" w:hAnsi="Calibri" w:cs="Calibri"/>
          <w:bCs/>
          <w:lang w:val="cs-CZ"/>
        </w:rPr>
        <w:t>Ukázalo se, že u</w:t>
      </w:r>
      <w:r w:rsidR="00725F0B">
        <w:rPr>
          <w:rFonts w:ascii="Calibri" w:eastAsia="Calibri" w:hAnsi="Calibri" w:cs="Calibri"/>
          <w:bCs/>
          <w:lang w:val="cs-CZ"/>
        </w:rPr>
        <w:t>plynulý rok akceleroval některé celospolečenské změny, které se promítly do</w:t>
      </w:r>
      <w:r w:rsidR="000F0C45">
        <w:rPr>
          <w:rFonts w:ascii="Calibri" w:eastAsia="Calibri" w:hAnsi="Calibri" w:cs="Calibri"/>
          <w:bCs/>
          <w:lang w:val="cs-CZ"/>
        </w:rPr>
        <w:t> </w:t>
      </w:r>
      <w:r w:rsidR="00725F0B">
        <w:rPr>
          <w:rFonts w:ascii="Calibri" w:eastAsia="Calibri" w:hAnsi="Calibri" w:cs="Calibri"/>
          <w:bCs/>
          <w:lang w:val="cs-CZ"/>
        </w:rPr>
        <w:t>změny nákupního chování.</w:t>
      </w:r>
      <w:r w:rsidR="00725893">
        <w:rPr>
          <w:rFonts w:ascii="Calibri" w:eastAsia="Calibri" w:hAnsi="Calibri" w:cs="Calibri"/>
          <w:bCs/>
          <w:lang w:val="cs-CZ"/>
        </w:rPr>
        <w:t xml:space="preserve"> </w:t>
      </w:r>
      <w:r w:rsidR="00736771">
        <w:rPr>
          <w:rFonts w:ascii="Calibri" w:eastAsia="Calibri" w:hAnsi="Calibri" w:cs="Calibri"/>
          <w:bCs/>
          <w:lang w:val="cs-CZ"/>
        </w:rPr>
        <w:t xml:space="preserve">Lidé chodili do obchodních </w:t>
      </w:r>
      <w:r w:rsidR="008B31A8">
        <w:rPr>
          <w:rFonts w:ascii="Calibri" w:eastAsia="Calibri" w:hAnsi="Calibri" w:cs="Calibri"/>
          <w:bCs/>
          <w:lang w:val="cs-CZ"/>
        </w:rPr>
        <w:t xml:space="preserve">center </w:t>
      </w:r>
      <w:r w:rsidR="00736771">
        <w:rPr>
          <w:rFonts w:ascii="Calibri" w:eastAsia="Calibri" w:hAnsi="Calibri" w:cs="Calibri"/>
          <w:bCs/>
          <w:lang w:val="cs-CZ"/>
        </w:rPr>
        <w:t xml:space="preserve">méně často a cíleně, ale utratili přitom více než dříve. </w:t>
      </w:r>
      <w:r w:rsidR="00736771" w:rsidRPr="008B31A8">
        <w:rPr>
          <w:rFonts w:ascii="Calibri" w:eastAsia="Calibri" w:hAnsi="Calibri" w:cs="Calibri"/>
          <w:bCs/>
          <w:lang w:val="cs-CZ"/>
        </w:rPr>
        <w:t xml:space="preserve">Hodnota průměrného nákupního koše díky tomu vzrostla o 5,7 % na 233 Kč za jednu návštěvu. </w:t>
      </w:r>
      <w:r w:rsidR="008B31A8" w:rsidRPr="008B31A8">
        <w:rPr>
          <w:rFonts w:ascii="Calibri" w:eastAsia="Calibri" w:hAnsi="Calibri" w:cs="Calibri"/>
          <w:bCs/>
          <w:i/>
          <w:lang w:val="cs-CZ"/>
        </w:rPr>
        <w:t>„J</w:t>
      </w:r>
      <w:r w:rsidR="00736771" w:rsidRPr="008B31A8">
        <w:rPr>
          <w:rFonts w:ascii="Calibri" w:eastAsia="Calibri" w:hAnsi="Calibri" w:cs="Calibri"/>
          <w:bCs/>
          <w:i/>
          <w:lang w:val="cs-CZ"/>
        </w:rPr>
        <w:t>e zřejmé, že č</w:t>
      </w:r>
      <w:r w:rsidR="00725F0B" w:rsidRPr="008B31A8">
        <w:rPr>
          <w:rFonts w:ascii="Calibri" w:eastAsia="Calibri" w:hAnsi="Calibri" w:cs="Calibri"/>
          <w:bCs/>
          <w:i/>
          <w:lang w:val="cs-CZ"/>
        </w:rPr>
        <w:t xml:space="preserve">as jako komodita bude </w:t>
      </w:r>
      <w:r w:rsidR="00736771" w:rsidRPr="008B31A8">
        <w:rPr>
          <w:rFonts w:ascii="Calibri" w:eastAsia="Calibri" w:hAnsi="Calibri" w:cs="Calibri"/>
          <w:bCs/>
          <w:i/>
          <w:lang w:val="cs-CZ"/>
        </w:rPr>
        <w:t xml:space="preserve">do budoucna </w:t>
      </w:r>
      <w:r w:rsidR="00725F0B" w:rsidRPr="008B31A8">
        <w:rPr>
          <w:rFonts w:ascii="Calibri" w:eastAsia="Calibri" w:hAnsi="Calibri" w:cs="Calibri"/>
          <w:bCs/>
          <w:i/>
          <w:lang w:val="cs-CZ"/>
        </w:rPr>
        <w:t>akcentován ještě více: zákazník obchodního centra bude očekávat komplexní nabídku, která uspokojí více</w:t>
      </w:r>
      <w:r w:rsidR="00736771" w:rsidRPr="008B31A8">
        <w:rPr>
          <w:rFonts w:ascii="Calibri" w:eastAsia="Calibri" w:hAnsi="Calibri" w:cs="Calibri"/>
          <w:bCs/>
          <w:i/>
          <w:lang w:val="cs-CZ"/>
        </w:rPr>
        <w:t xml:space="preserve"> jeho nákupních potřeb. </w:t>
      </w:r>
      <w:r w:rsidR="008B31A8" w:rsidRPr="008B31A8">
        <w:rPr>
          <w:rFonts w:ascii="Calibri" w:eastAsia="Calibri" w:hAnsi="Calibri" w:cs="Calibri"/>
          <w:bCs/>
          <w:i/>
          <w:lang w:val="cs-CZ"/>
        </w:rPr>
        <w:t>K</w:t>
      </w:r>
      <w:r w:rsidR="00736771" w:rsidRPr="008B31A8">
        <w:rPr>
          <w:rFonts w:ascii="Calibri" w:eastAsia="Calibri" w:hAnsi="Calibri" w:cs="Calibri"/>
          <w:bCs/>
          <w:i/>
          <w:lang w:val="cs-CZ"/>
        </w:rPr>
        <w:t xml:space="preserve">romě </w:t>
      </w:r>
      <w:r>
        <w:rPr>
          <w:rFonts w:ascii="Calibri" w:eastAsia="Calibri" w:hAnsi="Calibri" w:cs="Calibri"/>
          <w:bCs/>
          <w:i/>
          <w:lang w:val="cs-CZ"/>
        </w:rPr>
        <w:t>standardního nákupu</w:t>
      </w:r>
      <w:r w:rsidR="008B31A8" w:rsidRPr="008B31A8">
        <w:rPr>
          <w:rFonts w:ascii="Calibri" w:eastAsia="Calibri" w:hAnsi="Calibri" w:cs="Calibri"/>
          <w:bCs/>
          <w:i/>
          <w:lang w:val="cs-CZ"/>
        </w:rPr>
        <w:t xml:space="preserve"> </w:t>
      </w:r>
      <w:r w:rsidR="00736771" w:rsidRPr="008B31A8">
        <w:rPr>
          <w:rFonts w:ascii="Calibri" w:eastAsia="Calibri" w:hAnsi="Calibri" w:cs="Calibri"/>
          <w:bCs/>
          <w:i/>
          <w:lang w:val="cs-CZ"/>
        </w:rPr>
        <w:t>si</w:t>
      </w:r>
      <w:r w:rsidR="00725F0B" w:rsidRPr="008B31A8">
        <w:rPr>
          <w:rFonts w:ascii="Calibri" w:eastAsia="Calibri" w:hAnsi="Calibri" w:cs="Calibri"/>
          <w:bCs/>
          <w:i/>
          <w:lang w:val="cs-CZ"/>
        </w:rPr>
        <w:t xml:space="preserve"> </w:t>
      </w:r>
      <w:r>
        <w:rPr>
          <w:rFonts w:ascii="Calibri" w:eastAsia="Calibri" w:hAnsi="Calibri" w:cs="Calibri"/>
          <w:bCs/>
          <w:i/>
          <w:lang w:val="cs-CZ"/>
        </w:rPr>
        <w:t xml:space="preserve">třeba </w:t>
      </w:r>
      <w:r w:rsidR="00725F0B" w:rsidRPr="008B31A8">
        <w:rPr>
          <w:rFonts w:ascii="Calibri" w:eastAsia="Calibri" w:hAnsi="Calibri" w:cs="Calibri"/>
          <w:bCs/>
          <w:i/>
          <w:lang w:val="cs-CZ"/>
        </w:rPr>
        <w:t>ještě vyřídí z</w:t>
      </w:r>
      <w:r w:rsidR="00861C9C">
        <w:rPr>
          <w:rFonts w:ascii="Calibri" w:eastAsia="Calibri" w:hAnsi="Calibri" w:cs="Calibri"/>
          <w:bCs/>
          <w:i/>
          <w:lang w:val="cs-CZ"/>
        </w:rPr>
        <w:t>áležitosti v bance či na poště, zatímco</w:t>
      </w:r>
      <w:r w:rsidR="00725F0B" w:rsidRPr="008B31A8">
        <w:rPr>
          <w:rFonts w:ascii="Calibri" w:eastAsia="Calibri" w:hAnsi="Calibri" w:cs="Calibri"/>
          <w:bCs/>
          <w:i/>
          <w:lang w:val="cs-CZ"/>
        </w:rPr>
        <w:t xml:space="preserve"> jeho děti stráví čas z</w:t>
      </w:r>
      <w:r w:rsidR="00736771" w:rsidRPr="008B31A8">
        <w:rPr>
          <w:rFonts w:ascii="Calibri" w:eastAsia="Calibri" w:hAnsi="Calibri" w:cs="Calibri"/>
          <w:bCs/>
          <w:i/>
          <w:lang w:val="cs-CZ"/>
        </w:rPr>
        <w:t>ajímavou, smysluplnou aktivitou,“</w:t>
      </w:r>
      <w:r w:rsidR="00736771" w:rsidRPr="008B31A8">
        <w:rPr>
          <w:rFonts w:ascii="Calibri" w:eastAsia="Calibri" w:hAnsi="Calibri" w:cs="Calibri"/>
          <w:bCs/>
          <w:lang w:val="cs-CZ"/>
        </w:rPr>
        <w:t xml:space="preserve"> komentuje </w:t>
      </w:r>
      <w:r w:rsidR="00736771" w:rsidRPr="008B31A8">
        <w:rPr>
          <w:rFonts w:ascii="Calibri" w:eastAsia="Calibri" w:hAnsi="Calibri" w:cs="Calibri"/>
          <w:b/>
          <w:bCs/>
          <w:lang w:val="cs-CZ"/>
        </w:rPr>
        <w:t>Tomáš Míček</w:t>
      </w:r>
      <w:r w:rsidR="00736771" w:rsidRPr="008B31A8">
        <w:rPr>
          <w:rFonts w:ascii="Calibri" w:eastAsia="Calibri" w:hAnsi="Calibri" w:cs="Calibri"/>
          <w:bCs/>
          <w:lang w:val="cs-CZ"/>
        </w:rPr>
        <w:t xml:space="preserve"> a uzavírá: </w:t>
      </w:r>
      <w:r w:rsidR="00736771" w:rsidRPr="008B31A8">
        <w:rPr>
          <w:rFonts w:ascii="Calibri" w:eastAsia="Calibri" w:hAnsi="Calibri" w:cs="Calibri"/>
          <w:bCs/>
          <w:i/>
          <w:lang w:val="cs-CZ"/>
        </w:rPr>
        <w:t>„</w:t>
      </w:r>
      <w:r w:rsidR="00DC6AF8" w:rsidRPr="00DC6AF8">
        <w:rPr>
          <w:rFonts w:ascii="Calibri" w:eastAsia="Calibri" w:hAnsi="Calibri" w:cs="Calibri"/>
          <w:bCs/>
          <w:i/>
          <w:lang w:val="cs-CZ"/>
        </w:rPr>
        <w:t xml:space="preserve">Průměrná míra neobsazenosti vloni vzrostla o 0,8 procentního bodu, takže na konci roku 2020 dosáhla 4,2 %. Jedná se o srovnatelnou úroveň </w:t>
      </w:r>
      <w:r w:rsidR="00DC6AF8">
        <w:rPr>
          <w:rFonts w:ascii="Calibri" w:eastAsia="Calibri" w:hAnsi="Calibri" w:cs="Calibri"/>
          <w:bCs/>
          <w:i/>
          <w:lang w:val="cs-CZ"/>
        </w:rPr>
        <w:t xml:space="preserve">s minulými lety, </w:t>
      </w:r>
      <w:r w:rsidR="00A03C62">
        <w:rPr>
          <w:rFonts w:ascii="Calibri" w:eastAsia="Calibri" w:hAnsi="Calibri" w:cs="Calibri"/>
          <w:bCs/>
          <w:i/>
          <w:lang w:val="cs-CZ"/>
        </w:rPr>
        <w:t xml:space="preserve">takže </w:t>
      </w:r>
      <w:r w:rsidR="00DC6AF8">
        <w:rPr>
          <w:rFonts w:ascii="Calibri" w:eastAsia="Calibri" w:hAnsi="Calibri" w:cs="Calibri"/>
          <w:bCs/>
          <w:i/>
          <w:lang w:val="cs-CZ"/>
        </w:rPr>
        <w:t>nic dramatického</w:t>
      </w:r>
      <w:r w:rsidR="00DC6AF8" w:rsidRPr="00DC6AF8">
        <w:rPr>
          <w:rFonts w:ascii="Calibri" w:eastAsia="Calibri" w:hAnsi="Calibri" w:cs="Calibri"/>
          <w:bCs/>
          <w:i/>
          <w:lang w:val="cs-CZ"/>
        </w:rPr>
        <w:t>.</w:t>
      </w:r>
      <w:r w:rsidR="00DC6AF8">
        <w:rPr>
          <w:rFonts w:ascii="Calibri" w:eastAsia="Calibri" w:hAnsi="Calibri" w:cs="Calibri"/>
          <w:bCs/>
          <w:i/>
          <w:lang w:val="cs-CZ"/>
        </w:rPr>
        <w:t xml:space="preserve"> </w:t>
      </w:r>
      <w:r w:rsidR="00DF6254" w:rsidRPr="00DC6AF8">
        <w:rPr>
          <w:rFonts w:ascii="Calibri" w:eastAsia="Calibri" w:hAnsi="Calibri" w:cs="Calibri"/>
          <w:bCs/>
          <w:i/>
          <w:lang w:val="cs-CZ"/>
        </w:rPr>
        <w:t xml:space="preserve">Budoucnost obchodních center je </w:t>
      </w:r>
      <w:r w:rsidR="00DF6254">
        <w:rPr>
          <w:rFonts w:ascii="Calibri" w:eastAsia="Calibri" w:hAnsi="Calibri" w:cs="Calibri"/>
          <w:bCs/>
          <w:i/>
          <w:lang w:val="cs-CZ"/>
        </w:rPr>
        <w:t>nyní</w:t>
      </w:r>
      <w:r w:rsidR="00DF6254" w:rsidRPr="00DC6AF8">
        <w:rPr>
          <w:rFonts w:ascii="Calibri" w:eastAsia="Calibri" w:hAnsi="Calibri" w:cs="Calibri"/>
          <w:bCs/>
          <w:i/>
          <w:lang w:val="cs-CZ"/>
        </w:rPr>
        <w:t xml:space="preserve"> v rukou jak samotných vlastníků, tak jejich nájemců.</w:t>
      </w:r>
      <w:r w:rsidR="00DF6254">
        <w:rPr>
          <w:rFonts w:ascii="Calibri" w:eastAsia="Calibri" w:hAnsi="Calibri" w:cs="Calibri"/>
          <w:bCs/>
          <w:i/>
          <w:lang w:val="cs-CZ"/>
        </w:rPr>
        <w:t xml:space="preserve"> Č</w:t>
      </w:r>
      <w:r w:rsidR="00716AD6" w:rsidRPr="008B31A8">
        <w:rPr>
          <w:rFonts w:ascii="Calibri" w:eastAsia="Calibri" w:hAnsi="Calibri" w:cs="Calibri"/>
          <w:bCs/>
          <w:i/>
          <w:lang w:val="cs-CZ"/>
        </w:rPr>
        <w:t xml:space="preserve">eká </w:t>
      </w:r>
      <w:r w:rsidR="00DF6254">
        <w:rPr>
          <w:rFonts w:ascii="Calibri" w:eastAsia="Calibri" w:hAnsi="Calibri" w:cs="Calibri"/>
          <w:bCs/>
          <w:i/>
          <w:lang w:val="cs-CZ"/>
        </w:rPr>
        <w:t>je spolupráce při</w:t>
      </w:r>
      <w:r w:rsidR="000F0C45">
        <w:rPr>
          <w:rFonts w:ascii="Calibri" w:eastAsia="Calibri" w:hAnsi="Calibri" w:cs="Calibri"/>
          <w:bCs/>
          <w:i/>
          <w:lang w:val="cs-CZ"/>
        </w:rPr>
        <w:t> </w:t>
      </w:r>
      <w:r w:rsidR="00DF6254">
        <w:rPr>
          <w:rFonts w:ascii="Calibri" w:eastAsia="Calibri" w:hAnsi="Calibri" w:cs="Calibri"/>
          <w:bCs/>
          <w:i/>
          <w:lang w:val="cs-CZ"/>
        </w:rPr>
        <w:t>postupném</w:t>
      </w:r>
      <w:r w:rsidR="00716AD6" w:rsidRPr="008B31A8">
        <w:rPr>
          <w:rFonts w:ascii="Calibri" w:eastAsia="Calibri" w:hAnsi="Calibri" w:cs="Calibri"/>
          <w:bCs/>
          <w:i/>
          <w:lang w:val="cs-CZ"/>
        </w:rPr>
        <w:t xml:space="preserve"> propojování online a offline nakupování v podobě </w:t>
      </w:r>
      <w:r w:rsidR="00736771" w:rsidRPr="008B31A8">
        <w:rPr>
          <w:rFonts w:ascii="Calibri" w:eastAsia="Calibri" w:hAnsi="Calibri" w:cs="Calibri"/>
          <w:bCs/>
          <w:i/>
          <w:lang w:val="cs-CZ"/>
        </w:rPr>
        <w:t>zavádění</w:t>
      </w:r>
      <w:r w:rsidR="00716AD6" w:rsidRPr="008B31A8">
        <w:rPr>
          <w:rFonts w:ascii="Calibri" w:eastAsia="Calibri" w:hAnsi="Calibri" w:cs="Calibri"/>
          <w:bCs/>
          <w:i/>
          <w:lang w:val="cs-CZ"/>
        </w:rPr>
        <w:t xml:space="preserve"> různých forem výdejních míst a zkv</w:t>
      </w:r>
      <w:r w:rsidR="00736771" w:rsidRPr="008B31A8">
        <w:rPr>
          <w:rFonts w:ascii="Calibri" w:eastAsia="Calibri" w:hAnsi="Calibri" w:cs="Calibri"/>
          <w:bCs/>
          <w:i/>
          <w:lang w:val="cs-CZ"/>
        </w:rPr>
        <w:t>alitňování zákaznického servisu</w:t>
      </w:r>
      <w:r w:rsidR="00716AD6" w:rsidRPr="008B31A8">
        <w:rPr>
          <w:rFonts w:ascii="Calibri" w:eastAsia="Calibri" w:hAnsi="Calibri" w:cs="Calibri"/>
          <w:bCs/>
          <w:i/>
          <w:lang w:val="cs-CZ"/>
        </w:rPr>
        <w:t xml:space="preserve">. </w:t>
      </w:r>
      <w:r w:rsidR="00736771" w:rsidRPr="008B31A8">
        <w:rPr>
          <w:rFonts w:ascii="Calibri" w:eastAsia="Calibri" w:hAnsi="Calibri" w:cs="Calibri"/>
          <w:bCs/>
          <w:i/>
          <w:lang w:val="cs-CZ"/>
        </w:rPr>
        <w:t xml:space="preserve">Kamenné prodejny </w:t>
      </w:r>
      <w:r w:rsidR="008B31A8" w:rsidRPr="008B31A8">
        <w:rPr>
          <w:rFonts w:ascii="Calibri" w:eastAsia="Calibri" w:hAnsi="Calibri" w:cs="Calibri"/>
          <w:bCs/>
          <w:i/>
          <w:lang w:val="cs-CZ"/>
        </w:rPr>
        <w:t>se postupně promění na</w:t>
      </w:r>
      <w:r w:rsidR="000F0C45">
        <w:rPr>
          <w:rFonts w:ascii="Calibri" w:eastAsia="Calibri" w:hAnsi="Calibri" w:cs="Calibri"/>
          <w:bCs/>
          <w:i/>
          <w:lang w:val="cs-CZ"/>
        </w:rPr>
        <w:t> </w:t>
      </w:r>
      <w:r w:rsidR="008B31A8" w:rsidRPr="008B31A8">
        <w:rPr>
          <w:rFonts w:ascii="Calibri" w:eastAsia="Calibri" w:hAnsi="Calibri" w:cs="Calibri"/>
          <w:bCs/>
          <w:i/>
          <w:lang w:val="cs-CZ"/>
        </w:rPr>
        <w:t>multifunkční místa</w:t>
      </w:r>
      <w:r w:rsidR="00716AD6" w:rsidRPr="008B31A8">
        <w:rPr>
          <w:rFonts w:ascii="Calibri" w:eastAsia="Calibri" w:hAnsi="Calibri" w:cs="Calibri"/>
          <w:bCs/>
          <w:i/>
          <w:lang w:val="cs-CZ"/>
        </w:rPr>
        <w:t>, k</w:t>
      </w:r>
      <w:r w:rsidR="008B31A8" w:rsidRPr="008B31A8">
        <w:rPr>
          <w:rFonts w:ascii="Calibri" w:eastAsia="Calibri" w:hAnsi="Calibri" w:cs="Calibri"/>
          <w:bCs/>
          <w:i/>
          <w:lang w:val="cs-CZ"/>
        </w:rPr>
        <w:t>terá budou fungovat</w:t>
      </w:r>
      <w:r w:rsidR="00861C9C">
        <w:rPr>
          <w:rFonts w:ascii="Calibri" w:eastAsia="Calibri" w:hAnsi="Calibri" w:cs="Calibri"/>
          <w:bCs/>
          <w:i/>
          <w:lang w:val="cs-CZ"/>
        </w:rPr>
        <w:t xml:space="preserve"> nejen</w:t>
      </w:r>
      <w:r w:rsidR="008B31A8" w:rsidRPr="008B31A8">
        <w:rPr>
          <w:rFonts w:ascii="Calibri" w:eastAsia="Calibri" w:hAnsi="Calibri" w:cs="Calibri"/>
          <w:bCs/>
          <w:i/>
          <w:lang w:val="cs-CZ"/>
        </w:rPr>
        <w:t xml:space="preserve"> jako showroomy pro prezentaci zboží</w:t>
      </w:r>
      <w:r w:rsidR="00DF6254">
        <w:rPr>
          <w:rFonts w:ascii="Calibri" w:eastAsia="Calibri" w:hAnsi="Calibri" w:cs="Calibri"/>
          <w:bCs/>
          <w:i/>
          <w:lang w:val="cs-CZ"/>
        </w:rPr>
        <w:t xml:space="preserve"> a jeho vyzkoušení, ale</w:t>
      </w:r>
      <w:r w:rsidR="00DC6AF8">
        <w:rPr>
          <w:rFonts w:ascii="Calibri" w:eastAsia="Calibri" w:hAnsi="Calibri" w:cs="Calibri"/>
          <w:bCs/>
          <w:i/>
          <w:lang w:val="cs-CZ"/>
        </w:rPr>
        <w:t xml:space="preserve"> i</w:t>
      </w:r>
      <w:r w:rsidR="008B31A8" w:rsidRPr="008B31A8">
        <w:rPr>
          <w:rFonts w:ascii="Calibri" w:eastAsia="Calibri" w:hAnsi="Calibri" w:cs="Calibri"/>
          <w:bCs/>
          <w:i/>
          <w:lang w:val="cs-CZ"/>
        </w:rPr>
        <w:t xml:space="preserve"> </w:t>
      </w:r>
      <w:r w:rsidR="00861C9C">
        <w:rPr>
          <w:rFonts w:ascii="Calibri" w:eastAsia="Calibri" w:hAnsi="Calibri" w:cs="Calibri"/>
          <w:bCs/>
          <w:i/>
          <w:lang w:val="cs-CZ"/>
        </w:rPr>
        <w:t xml:space="preserve">pro </w:t>
      </w:r>
      <w:r w:rsidR="008B31A8" w:rsidRPr="008B31A8">
        <w:rPr>
          <w:rFonts w:ascii="Calibri" w:eastAsia="Calibri" w:hAnsi="Calibri" w:cs="Calibri"/>
          <w:bCs/>
          <w:i/>
          <w:lang w:val="cs-CZ"/>
        </w:rPr>
        <w:t xml:space="preserve">upevňování vztahu se zákazníkem. </w:t>
      </w:r>
      <w:r w:rsidR="00736771" w:rsidRPr="008B31A8">
        <w:rPr>
          <w:rFonts w:ascii="Calibri" w:eastAsia="Calibri" w:hAnsi="Calibri" w:cs="Calibri"/>
          <w:bCs/>
          <w:i/>
          <w:lang w:val="cs-CZ"/>
        </w:rPr>
        <w:t>Z našich průzkumů vyplývá, že t</w:t>
      </w:r>
      <w:r w:rsidR="00716AD6" w:rsidRPr="008B31A8">
        <w:rPr>
          <w:rFonts w:ascii="Calibri" w:eastAsia="Calibri" w:hAnsi="Calibri" w:cs="Calibri"/>
          <w:bCs/>
          <w:i/>
          <w:lang w:val="cs-CZ"/>
        </w:rPr>
        <w:t xml:space="preserve">řetina nájemců </w:t>
      </w:r>
      <w:r w:rsidR="00DF6254">
        <w:rPr>
          <w:rFonts w:ascii="Calibri" w:eastAsia="Calibri" w:hAnsi="Calibri" w:cs="Calibri"/>
          <w:bCs/>
          <w:i/>
          <w:lang w:val="cs-CZ"/>
        </w:rPr>
        <w:t xml:space="preserve">OC </w:t>
      </w:r>
      <w:r w:rsidR="00716AD6" w:rsidRPr="008B31A8">
        <w:rPr>
          <w:rFonts w:ascii="Calibri" w:eastAsia="Calibri" w:hAnsi="Calibri" w:cs="Calibri"/>
          <w:bCs/>
          <w:i/>
          <w:lang w:val="cs-CZ"/>
        </w:rPr>
        <w:t xml:space="preserve">plánuje v rámci svých obchodů změny související s modernizací či zkvalitněním zákaznického zážitku. Kromě redesignu </w:t>
      </w:r>
      <w:r w:rsidR="00736771" w:rsidRPr="008B31A8">
        <w:rPr>
          <w:rFonts w:ascii="Calibri" w:eastAsia="Calibri" w:hAnsi="Calibri" w:cs="Calibri"/>
          <w:bCs/>
          <w:i/>
          <w:lang w:val="cs-CZ"/>
        </w:rPr>
        <w:t>interiérů</w:t>
      </w:r>
      <w:r w:rsidR="00716AD6" w:rsidRPr="008B31A8">
        <w:rPr>
          <w:rFonts w:ascii="Calibri" w:eastAsia="Calibri" w:hAnsi="Calibri" w:cs="Calibri"/>
          <w:bCs/>
          <w:i/>
          <w:lang w:val="cs-CZ"/>
        </w:rPr>
        <w:t xml:space="preserve"> se </w:t>
      </w:r>
      <w:r w:rsidR="00DC6AF8">
        <w:rPr>
          <w:rFonts w:ascii="Calibri" w:eastAsia="Calibri" w:hAnsi="Calibri" w:cs="Calibri"/>
          <w:bCs/>
          <w:i/>
          <w:lang w:val="cs-CZ"/>
        </w:rPr>
        <w:t>převážně</w:t>
      </w:r>
      <w:r w:rsidR="00716AD6" w:rsidRPr="008B31A8">
        <w:rPr>
          <w:rFonts w:ascii="Calibri" w:eastAsia="Calibri" w:hAnsi="Calibri" w:cs="Calibri"/>
          <w:bCs/>
          <w:i/>
          <w:lang w:val="cs-CZ"/>
        </w:rPr>
        <w:t xml:space="preserve"> jedná o větší využívání digitálních technologií, mj.</w:t>
      </w:r>
      <w:r w:rsidR="000F0C45">
        <w:rPr>
          <w:rFonts w:ascii="Calibri" w:eastAsia="Calibri" w:hAnsi="Calibri" w:cs="Calibri"/>
          <w:bCs/>
          <w:i/>
          <w:lang w:val="cs-CZ"/>
        </w:rPr>
        <w:t> </w:t>
      </w:r>
      <w:r w:rsidR="00716AD6" w:rsidRPr="008B31A8">
        <w:rPr>
          <w:rFonts w:ascii="Calibri" w:eastAsia="Calibri" w:hAnsi="Calibri" w:cs="Calibri"/>
          <w:bCs/>
          <w:i/>
          <w:lang w:val="cs-CZ"/>
        </w:rPr>
        <w:t>samoobslužných terminálů a bezkontaktních plateb, ale i uživatelsky vylepšených e-shopů.</w:t>
      </w:r>
      <w:r w:rsidR="008B31A8">
        <w:rPr>
          <w:rFonts w:ascii="Calibri" w:eastAsia="Calibri" w:hAnsi="Calibri" w:cs="Calibri"/>
          <w:bCs/>
          <w:i/>
          <w:lang w:val="cs-CZ"/>
        </w:rPr>
        <w:t>“</w:t>
      </w:r>
    </w:p>
    <w:p w14:paraId="10670E1B" w14:textId="77777777" w:rsidR="00CD18EC" w:rsidRDefault="00CD18EC" w:rsidP="00667DEA">
      <w:pPr>
        <w:jc w:val="both"/>
        <w:rPr>
          <w:rFonts w:ascii="Calibri" w:eastAsia="Calibri" w:hAnsi="Calibri" w:cs="Calibri"/>
          <w:bCs/>
          <w:lang w:val="cs-CZ"/>
        </w:rPr>
      </w:pPr>
    </w:p>
    <w:p w14:paraId="14597CE9" w14:textId="1D8D5CCD" w:rsidR="00CD18EC" w:rsidRPr="009A048F" w:rsidRDefault="00BD1E15" w:rsidP="00CD18EC">
      <w:pPr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9A048F">
        <w:rPr>
          <w:rFonts w:ascii="Calibri" w:eastAsia="Calibri" w:hAnsi="Calibri" w:cs="Calibri"/>
          <w:sz w:val="22"/>
          <w:szCs w:val="22"/>
          <w:u w:val="single"/>
          <w:lang w:val="cs-CZ"/>
        </w:rPr>
        <w:t xml:space="preserve">Přehled vládních programů, které poskytovalo Ministerstvo průmyslu a obchodu </w:t>
      </w:r>
      <w:r w:rsidR="009A048F" w:rsidRPr="009A048F">
        <w:rPr>
          <w:rFonts w:ascii="Calibri" w:eastAsia="Calibri" w:hAnsi="Calibri" w:cs="Calibri"/>
          <w:sz w:val="22"/>
          <w:szCs w:val="22"/>
          <w:u w:val="single"/>
          <w:lang w:val="cs-CZ"/>
        </w:rPr>
        <w:t>podnikatelům jako</w:t>
      </w:r>
      <w:r w:rsidR="000F0C45">
        <w:rPr>
          <w:rFonts w:ascii="Calibri" w:eastAsia="Calibri" w:hAnsi="Calibri" w:cs="Calibri"/>
          <w:sz w:val="22"/>
          <w:szCs w:val="22"/>
          <w:u w:val="single"/>
          <w:lang w:val="cs-CZ"/>
        </w:rPr>
        <w:t> </w:t>
      </w:r>
      <w:r w:rsidR="009A048F" w:rsidRPr="009A048F">
        <w:rPr>
          <w:rFonts w:ascii="Calibri" w:eastAsia="Calibri" w:hAnsi="Calibri" w:cs="Calibri"/>
          <w:sz w:val="22"/>
          <w:szCs w:val="22"/>
          <w:u w:val="single"/>
          <w:lang w:val="cs-CZ"/>
        </w:rPr>
        <w:t xml:space="preserve">kompenzaci po dobu </w:t>
      </w:r>
      <w:r w:rsidRPr="009A048F">
        <w:rPr>
          <w:rFonts w:ascii="Calibri" w:eastAsia="Calibri" w:hAnsi="Calibri" w:cs="Calibri"/>
          <w:sz w:val="22"/>
          <w:szCs w:val="22"/>
          <w:u w:val="single"/>
          <w:lang w:val="cs-CZ"/>
        </w:rPr>
        <w:t>uzavření obchodů a služeb</w:t>
      </w:r>
      <w:r w:rsidRPr="009A048F">
        <w:rPr>
          <w:rFonts w:ascii="Calibri" w:eastAsia="Calibri" w:hAnsi="Calibri" w:cs="Calibri"/>
          <w:sz w:val="22"/>
          <w:szCs w:val="22"/>
          <w:lang w:val="cs-CZ"/>
        </w:rPr>
        <w:t>:</w:t>
      </w:r>
    </w:p>
    <w:p w14:paraId="044B7BF6" w14:textId="77777777" w:rsidR="00CD18EC" w:rsidRPr="009A048F" w:rsidRDefault="00CD18EC" w:rsidP="00CD18EC">
      <w:pPr>
        <w:jc w:val="both"/>
        <w:rPr>
          <w:rFonts w:ascii="Calibri" w:eastAsia="Calibri" w:hAnsi="Calibri" w:cs="Calibri"/>
          <w:bCs/>
          <w:sz w:val="22"/>
          <w:szCs w:val="22"/>
          <w:lang w:val="cs-CZ"/>
        </w:rPr>
      </w:pPr>
    </w:p>
    <w:p w14:paraId="5EDF4995" w14:textId="4234E42D" w:rsidR="00CD18EC" w:rsidRPr="009A048F" w:rsidRDefault="00CD18EC" w:rsidP="00CD18EC">
      <w:pPr>
        <w:jc w:val="both"/>
        <w:rPr>
          <w:rFonts w:ascii="Calibri" w:eastAsia="Calibri" w:hAnsi="Calibri" w:cs="Calibri"/>
          <w:bCs/>
          <w:sz w:val="22"/>
          <w:szCs w:val="22"/>
          <w:lang w:val="cs-CZ"/>
        </w:rPr>
      </w:pPr>
      <w:r w:rsidRPr="009A048F">
        <w:rPr>
          <w:rFonts w:ascii="Calibri" w:eastAsia="Calibri" w:hAnsi="Calibri" w:cs="Calibri"/>
          <w:b/>
          <w:bCs/>
          <w:sz w:val="22"/>
          <w:szCs w:val="22"/>
          <w:lang w:val="cs-CZ"/>
        </w:rPr>
        <w:t>COVID – Nájemné</w:t>
      </w:r>
      <w:r w:rsidRPr="009A048F">
        <w:rPr>
          <w:rFonts w:ascii="Calibri" w:eastAsia="Calibri" w:hAnsi="Calibri" w:cs="Calibri"/>
          <w:bCs/>
          <w:sz w:val="22"/>
          <w:szCs w:val="22"/>
          <w:lang w:val="cs-CZ"/>
        </w:rPr>
        <w:t>: Výzva 1 (podpora byla poskytována na období od 13. března do 30. června 2020), Výzva 2 (podpora na období od 1. července do 30. září 2020), Výzva 3 (podpo</w:t>
      </w:r>
      <w:r w:rsidR="00861C9C">
        <w:rPr>
          <w:rFonts w:ascii="Calibri" w:eastAsia="Calibri" w:hAnsi="Calibri" w:cs="Calibri"/>
          <w:bCs/>
          <w:sz w:val="22"/>
          <w:szCs w:val="22"/>
          <w:lang w:val="cs-CZ"/>
        </w:rPr>
        <w:t>ra na období od 1. října do 31. </w:t>
      </w:r>
      <w:r w:rsidRPr="009A048F">
        <w:rPr>
          <w:rFonts w:ascii="Calibri" w:eastAsia="Calibri" w:hAnsi="Calibri" w:cs="Calibri"/>
          <w:bCs/>
          <w:sz w:val="22"/>
          <w:szCs w:val="22"/>
          <w:lang w:val="cs-CZ"/>
        </w:rPr>
        <w:t xml:space="preserve">prosince 2020). Výše podpory činila 50 % rozhodného nájemného, přičemž zbylých 50 % musel žadatel uhradit sám ještě před podáním žádosti. Maximální výše podpory pro jednoho žadatele činila 10 milionů Kč. Podmínkou Výzvy 1 bylo také poskytnutí slevy pronajímatelem alespoň ve výši 30 % rozhodného nájemného. </w:t>
      </w:r>
    </w:p>
    <w:p w14:paraId="3716C254" w14:textId="77777777" w:rsidR="00CD18EC" w:rsidRPr="009A048F" w:rsidRDefault="00CD18EC" w:rsidP="00CD18EC">
      <w:pPr>
        <w:jc w:val="both"/>
        <w:rPr>
          <w:rFonts w:ascii="Calibri" w:eastAsia="Calibri" w:hAnsi="Calibri" w:cs="Calibri"/>
          <w:bCs/>
          <w:sz w:val="22"/>
          <w:szCs w:val="22"/>
          <w:lang w:val="cs-CZ"/>
        </w:rPr>
      </w:pPr>
    </w:p>
    <w:p w14:paraId="7F29EB40" w14:textId="77777777" w:rsidR="00CD18EC" w:rsidRPr="009A048F" w:rsidRDefault="00CD18EC" w:rsidP="00CD18EC">
      <w:pPr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9A048F">
        <w:rPr>
          <w:rFonts w:ascii="Calibri" w:eastAsia="Calibri" w:hAnsi="Calibri" w:cs="Calibri"/>
          <w:b/>
          <w:bCs/>
          <w:sz w:val="22"/>
          <w:szCs w:val="22"/>
          <w:lang w:val="cs-CZ"/>
        </w:rPr>
        <w:lastRenderedPageBreak/>
        <w:t xml:space="preserve">COVID – Gastro – Uzavřené provozovny: </w:t>
      </w:r>
      <w:r w:rsidRPr="009A048F">
        <w:rPr>
          <w:rFonts w:ascii="Calibri" w:eastAsia="Calibri" w:hAnsi="Calibri" w:cs="Calibri"/>
          <w:bCs/>
          <w:sz w:val="22"/>
          <w:szCs w:val="22"/>
          <w:lang w:val="cs-CZ"/>
        </w:rPr>
        <w:t>Podpora poskytovaná na náklady na provoz a udržení podnikatelské činnosti, jako jsou osobní náklady, náklady na materiál, služby (včetně například leasingu), odpisy, daně a poplatky, splátky úvěru, režijní náklady apod. Výše podpory činila 400 Kč za každého zaměstnance a den, po který byla činnost na základě vládních opatření omezena.</w:t>
      </w:r>
      <w:r w:rsidRPr="009A048F"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 </w:t>
      </w:r>
    </w:p>
    <w:p w14:paraId="0632F52F" w14:textId="77777777" w:rsidR="00CD18EC" w:rsidRPr="009A048F" w:rsidRDefault="00CD18EC" w:rsidP="00CD18EC">
      <w:pPr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14:paraId="6BF4B429" w14:textId="6B746034" w:rsidR="00CD18EC" w:rsidRPr="009A048F" w:rsidRDefault="00CD18EC" w:rsidP="00CD18EC">
      <w:pPr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9A048F">
        <w:rPr>
          <w:rFonts w:ascii="Calibri" w:eastAsia="Calibri" w:hAnsi="Calibri" w:cs="Calibri"/>
          <w:b/>
          <w:bCs/>
          <w:sz w:val="22"/>
          <w:szCs w:val="22"/>
          <w:lang w:val="cs-CZ"/>
        </w:rPr>
        <w:t>Antivirus – podpora zaměstnanosti:</w:t>
      </w:r>
      <w:r w:rsidRPr="009A048F">
        <w:rPr>
          <w:sz w:val="22"/>
          <w:szCs w:val="22"/>
        </w:rPr>
        <w:t xml:space="preserve"> </w:t>
      </w:r>
      <w:r w:rsidRPr="009A048F">
        <w:rPr>
          <w:rFonts w:ascii="Calibri" w:eastAsia="Calibri" w:hAnsi="Calibri" w:cs="Calibri"/>
          <w:bCs/>
          <w:sz w:val="22"/>
          <w:szCs w:val="22"/>
          <w:lang w:val="cs-CZ"/>
        </w:rPr>
        <w:t>Příspěvek na plnou či částečnou úhradu náhrad mezd, které</w:t>
      </w:r>
      <w:r w:rsidR="000F0C45">
        <w:rPr>
          <w:rFonts w:ascii="Calibri" w:eastAsia="Calibri" w:hAnsi="Calibri" w:cs="Calibri"/>
          <w:bCs/>
          <w:sz w:val="22"/>
          <w:szCs w:val="22"/>
          <w:lang w:val="cs-CZ"/>
        </w:rPr>
        <w:t> </w:t>
      </w:r>
      <w:r w:rsidR="009A048F" w:rsidRPr="009A048F">
        <w:rPr>
          <w:rFonts w:ascii="Calibri" w:eastAsia="Calibri" w:hAnsi="Calibri" w:cs="Calibri"/>
          <w:bCs/>
          <w:sz w:val="22"/>
          <w:szCs w:val="22"/>
          <w:lang w:val="cs-CZ"/>
        </w:rPr>
        <w:t>zaměstnancům náležely</w:t>
      </w:r>
      <w:r w:rsidRPr="009A048F">
        <w:rPr>
          <w:rFonts w:ascii="Calibri" w:eastAsia="Calibri" w:hAnsi="Calibri" w:cs="Calibri"/>
          <w:bCs/>
          <w:sz w:val="22"/>
          <w:szCs w:val="22"/>
          <w:lang w:val="cs-CZ"/>
        </w:rPr>
        <w:t xml:space="preserve"> z důvodu překážky na straně zaměstnance (nařízení karantény) nebo</w:t>
      </w:r>
      <w:r w:rsidR="000F0C45">
        <w:rPr>
          <w:rFonts w:ascii="Calibri" w:eastAsia="Calibri" w:hAnsi="Calibri" w:cs="Calibri"/>
          <w:bCs/>
          <w:sz w:val="22"/>
          <w:szCs w:val="22"/>
          <w:lang w:val="cs-CZ"/>
        </w:rPr>
        <w:t> </w:t>
      </w:r>
      <w:r w:rsidRPr="009A048F">
        <w:rPr>
          <w:rFonts w:ascii="Calibri" w:eastAsia="Calibri" w:hAnsi="Calibri" w:cs="Calibri"/>
          <w:bCs/>
          <w:sz w:val="22"/>
          <w:szCs w:val="22"/>
          <w:lang w:val="cs-CZ"/>
        </w:rPr>
        <w:t>na</w:t>
      </w:r>
      <w:r w:rsidR="000F0C45">
        <w:rPr>
          <w:rFonts w:ascii="Calibri" w:eastAsia="Calibri" w:hAnsi="Calibri" w:cs="Calibri"/>
          <w:bCs/>
          <w:sz w:val="22"/>
          <w:szCs w:val="22"/>
          <w:lang w:val="cs-CZ"/>
        </w:rPr>
        <w:t> </w:t>
      </w:r>
      <w:r w:rsidRPr="009A048F">
        <w:rPr>
          <w:rFonts w:ascii="Calibri" w:eastAsia="Calibri" w:hAnsi="Calibri" w:cs="Calibri"/>
          <w:bCs/>
          <w:sz w:val="22"/>
          <w:szCs w:val="22"/>
          <w:lang w:val="cs-CZ"/>
        </w:rPr>
        <w:t>straně zaměstnavatele (uzavření provozovny z důvodu nařízení vlády).</w:t>
      </w:r>
    </w:p>
    <w:p w14:paraId="5C94D98E" w14:textId="77777777" w:rsidR="00CD18EC" w:rsidRPr="00667DEA" w:rsidRDefault="00CD18EC" w:rsidP="00667DEA">
      <w:pPr>
        <w:jc w:val="both"/>
        <w:rPr>
          <w:rFonts w:ascii="Calibri" w:eastAsia="Calibri" w:hAnsi="Calibri" w:cs="Calibri"/>
          <w:bCs/>
          <w:lang w:val="cs-CZ"/>
        </w:rPr>
      </w:pPr>
    </w:p>
    <w:p w14:paraId="28CE68C2" w14:textId="77777777" w:rsidR="00F93CA4" w:rsidRPr="00F93CA4" w:rsidRDefault="00F93CA4" w:rsidP="00F93CA4">
      <w:pPr>
        <w:jc w:val="both"/>
        <w:rPr>
          <w:rFonts w:ascii="Calibri" w:eastAsia="Calibri" w:hAnsi="Calibri" w:cs="Calibri"/>
          <w:bCs/>
          <w:lang w:val="cs-CZ"/>
        </w:rPr>
      </w:pPr>
    </w:p>
    <w:p w14:paraId="6DF22462" w14:textId="77777777" w:rsidR="00F93CA4" w:rsidRPr="005D5F7C" w:rsidRDefault="00F93CA4" w:rsidP="00F93CA4">
      <w:pPr>
        <w:jc w:val="both"/>
        <w:rPr>
          <w:rFonts w:ascii="Calibri" w:eastAsia="Calibri" w:hAnsi="Calibri" w:cs="Calibri"/>
          <w:bCs/>
          <w:sz w:val="20"/>
          <w:szCs w:val="20"/>
          <w:u w:val="single"/>
          <w:lang w:val="cs-CZ"/>
        </w:rPr>
      </w:pPr>
      <w:r w:rsidRPr="005D5F7C">
        <w:rPr>
          <w:rFonts w:ascii="Calibri" w:eastAsia="Calibri" w:hAnsi="Calibri" w:cs="Calibri"/>
          <w:bCs/>
          <w:sz w:val="20"/>
          <w:szCs w:val="20"/>
          <w:u w:val="single"/>
          <w:lang w:val="cs-CZ"/>
        </w:rPr>
        <w:t>O Shopping Centre Indexu</w:t>
      </w:r>
    </w:p>
    <w:p w14:paraId="7D6AB81D" w14:textId="08910A95" w:rsidR="00F93CA4" w:rsidRPr="005D5F7C" w:rsidRDefault="00F93CA4" w:rsidP="00F93CA4">
      <w:pPr>
        <w:jc w:val="both"/>
        <w:rPr>
          <w:rFonts w:ascii="Calibri" w:eastAsia="Calibri" w:hAnsi="Calibri" w:cs="Calibri"/>
          <w:bCs/>
          <w:sz w:val="20"/>
          <w:szCs w:val="20"/>
          <w:lang w:val="cs-CZ"/>
        </w:rPr>
      </w:pPr>
      <w:r w:rsidRPr="005D5F7C">
        <w:rPr>
          <w:rFonts w:ascii="Calibri" w:eastAsia="Calibri" w:hAnsi="Calibri" w:cs="Calibri"/>
          <w:bCs/>
          <w:sz w:val="20"/>
          <w:szCs w:val="20"/>
          <w:lang w:val="cs-CZ"/>
        </w:rPr>
        <w:t xml:space="preserve">CBRE Shopping Centre Index je jediným tržním ukazatelem, který </w:t>
      </w:r>
      <w:r w:rsidR="004F0690" w:rsidRPr="005D5F7C">
        <w:rPr>
          <w:rFonts w:ascii="Calibri" w:eastAsia="Calibri" w:hAnsi="Calibri" w:cs="Calibri"/>
          <w:bCs/>
          <w:sz w:val="20"/>
          <w:szCs w:val="20"/>
          <w:lang w:val="cs-CZ"/>
        </w:rPr>
        <w:t xml:space="preserve">nepřetržitě </w:t>
      </w:r>
      <w:r w:rsidRPr="005D5F7C">
        <w:rPr>
          <w:rFonts w:ascii="Calibri" w:eastAsia="Calibri" w:hAnsi="Calibri" w:cs="Calibri"/>
          <w:bCs/>
          <w:sz w:val="20"/>
          <w:szCs w:val="20"/>
          <w:lang w:val="cs-CZ"/>
        </w:rPr>
        <w:t>sleduje výkonnost regionálních náku</w:t>
      </w:r>
      <w:r w:rsidR="004F0690" w:rsidRPr="005D5F7C">
        <w:rPr>
          <w:rFonts w:ascii="Calibri" w:eastAsia="Calibri" w:hAnsi="Calibri" w:cs="Calibri"/>
          <w:bCs/>
          <w:sz w:val="20"/>
          <w:szCs w:val="20"/>
          <w:lang w:val="cs-CZ"/>
        </w:rPr>
        <w:t xml:space="preserve">pních center v České republice, a to od roku 2013. </w:t>
      </w:r>
      <w:r w:rsidRPr="005D5F7C">
        <w:rPr>
          <w:rFonts w:ascii="Calibri" w:eastAsia="Calibri" w:hAnsi="Calibri" w:cs="Calibri"/>
          <w:bCs/>
          <w:sz w:val="20"/>
          <w:szCs w:val="20"/>
          <w:lang w:val="cs-CZ"/>
        </w:rPr>
        <w:t>Analyzuje vzorek 20 nákupních center v regionech (kromě Prahy), který</w:t>
      </w:r>
      <w:r w:rsidR="00BA6BCA" w:rsidRPr="005D5F7C">
        <w:rPr>
          <w:rFonts w:ascii="Calibri" w:eastAsia="Calibri" w:hAnsi="Calibri" w:cs="Calibri"/>
          <w:bCs/>
          <w:sz w:val="20"/>
          <w:szCs w:val="20"/>
          <w:lang w:val="cs-CZ"/>
        </w:rPr>
        <w:t> </w:t>
      </w:r>
      <w:r w:rsidRPr="005D5F7C">
        <w:rPr>
          <w:rFonts w:ascii="Calibri" w:eastAsia="Calibri" w:hAnsi="Calibri" w:cs="Calibri"/>
          <w:bCs/>
          <w:sz w:val="20"/>
          <w:szCs w:val="20"/>
          <w:lang w:val="cs-CZ"/>
        </w:rPr>
        <w:t xml:space="preserve">představuje </w:t>
      </w:r>
      <w:r w:rsidR="001D6B5F" w:rsidRPr="005D5F7C">
        <w:rPr>
          <w:rFonts w:ascii="Calibri" w:eastAsia="Calibri" w:hAnsi="Calibri" w:cs="Calibri"/>
          <w:bCs/>
          <w:sz w:val="20"/>
          <w:szCs w:val="20"/>
          <w:lang w:val="cs-CZ"/>
        </w:rPr>
        <w:t xml:space="preserve">téměř 1 600 obchodů a </w:t>
      </w:r>
      <w:r w:rsidR="00063073">
        <w:rPr>
          <w:rFonts w:ascii="Calibri" w:eastAsia="Calibri" w:hAnsi="Calibri" w:cs="Calibri"/>
          <w:bCs/>
          <w:sz w:val="20"/>
          <w:szCs w:val="20"/>
          <w:lang w:val="cs-CZ"/>
        </w:rPr>
        <w:t>dosahujících</w:t>
      </w:r>
      <w:r w:rsidRPr="005D5F7C">
        <w:rPr>
          <w:rFonts w:ascii="Calibri" w:eastAsia="Calibri" w:hAnsi="Calibri" w:cs="Calibri"/>
          <w:bCs/>
          <w:sz w:val="20"/>
          <w:szCs w:val="20"/>
          <w:lang w:val="cs-CZ"/>
        </w:rPr>
        <w:t xml:space="preserve"> 57</w:t>
      </w:r>
      <w:r w:rsidR="00DD2FFF" w:rsidRPr="005D5F7C">
        <w:rPr>
          <w:rFonts w:ascii="Calibri" w:eastAsia="Calibri" w:hAnsi="Calibri" w:cs="Calibri"/>
          <w:bCs/>
          <w:sz w:val="20"/>
          <w:szCs w:val="20"/>
          <w:lang w:val="cs-CZ"/>
        </w:rPr>
        <w:t xml:space="preserve">5 </w:t>
      </w:r>
      <w:r w:rsidRPr="005D5F7C">
        <w:rPr>
          <w:rFonts w:ascii="Calibri" w:eastAsia="Calibri" w:hAnsi="Calibri" w:cs="Calibri"/>
          <w:bCs/>
          <w:sz w:val="20"/>
          <w:szCs w:val="20"/>
          <w:lang w:val="cs-CZ"/>
        </w:rPr>
        <w:t>000 m</w:t>
      </w:r>
      <w:r w:rsidRPr="005D5F7C">
        <w:rPr>
          <w:rFonts w:ascii="Calibri" w:eastAsia="Calibri" w:hAnsi="Calibri" w:cs="Calibri"/>
          <w:bCs/>
          <w:sz w:val="20"/>
          <w:szCs w:val="20"/>
          <w:vertAlign w:val="superscript"/>
          <w:lang w:val="cs-CZ"/>
        </w:rPr>
        <w:t>2</w:t>
      </w:r>
      <w:r w:rsidRPr="005D5F7C">
        <w:rPr>
          <w:rFonts w:ascii="Calibri" w:eastAsia="Calibri" w:hAnsi="Calibri" w:cs="Calibri"/>
          <w:bCs/>
          <w:sz w:val="20"/>
          <w:szCs w:val="20"/>
          <w:lang w:val="cs-CZ"/>
        </w:rPr>
        <w:t xml:space="preserve"> maloobchodních ploch. To je více než 35</w:t>
      </w:r>
      <w:r w:rsidR="00063073">
        <w:rPr>
          <w:rFonts w:ascii="Calibri" w:eastAsia="Calibri" w:hAnsi="Calibri" w:cs="Calibri"/>
          <w:bCs/>
          <w:sz w:val="20"/>
          <w:szCs w:val="20"/>
          <w:lang w:val="cs-CZ"/>
        </w:rPr>
        <w:t> </w:t>
      </w:r>
      <w:r w:rsidRPr="005D5F7C">
        <w:rPr>
          <w:rFonts w:ascii="Calibri" w:eastAsia="Calibri" w:hAnsi="Calibri" w:cs="Calibri"/>
          <w:bCs/>
          <w:sz w:val="20"/>
          <w:szCs w:val="20"/>
          <w:lang w:val="cs-CZ"/>
        </w:rPr>
        <w:t>% objemu nákupních centrech v</w:t>
      </w:r>
      <w:r w:rsidR="00DB454B" w:rsidRPr="005D5F7C">
        <w:rPr>
          <w:rFonts w:ascii="Calibri" w:eastAsia="Calibri" w:hAnsi="Calibri" w:cs="Calibri"/>
          <w:bCs/>
          <w:sz w:val="20"/>
          <w:szCs w:val="20"/>
          <w:lang w:val="cs-CZ"/>
        </w:rPr>
        <w:t> </w:t>
      </w:r>
      <w:r w:rsidRPr="005D5F7C">
        <w:rPr>
          <w:rFonts w:ascii="Calibri" w:eastAsia="Calibri" w:hAnsi="Calibri" w:cs="Calibri"/>
          <w:bCs/>
          <w:sz w:val="20"/>
          <w:szCs w:val="20"/>
          <w:lang w:val="cs-CZ"/>
        </w:rPr>
        <w:t xml:space="preserve">regionech, které v loňském roce navštívilo celkem </w:t>
      </w:r>
      <w:r w:rsidR="001D6B5F" w:rsidRPr="005D5F7C">
        <w:rPr>
          <w:rFonts w:ascii="Calibri" w:eastAsia="Calibri" w:hAnsi="Calibri" w:cs="Calibri"/>
          <w:bCs/>
          <w:sz w:val="20"/>
          <w:szCs w:val="20"/>
          <w:lang w:val="cs-CZ"/>
        </w:rPr>
        <w:t>66</w:t>
      </w:r>
      <w:r w:rsidRPr="005D5F7C">
        <w:rPr>
          <w:rFonts w:ascii="Calibri" w:eastAsia="Calibri" w:hAnsi="Calibri" w:cs="Calibri"/>
          <w:bCs/>
          <w:sz w:val="20"/>
          <w:szCs w:val="20"/>
          <w:lang w:val="cs-CZ"/>
        </w:rPr>
        <w:t xml:space="preserve"> milionů zákazníků. Průměrné regionální obchodní centrum disponuje pronajímatelnou plochou 28 500 m</w:t>
      </w:r>
      <w:r w:rsidRPr="005D5F7C">
        <w:rPr>
          <w:rFonts w:ascii="Calibri" w:eastAsia="Calibri" w:hAnsi="Calibri" w:cs="Calibri"/>
          <w:bCs/>
          <w:sz w:val="20"/>
          <w:szCs w:val="20"/>
          <w:vertAlign w:val="superscript"/>
          <w:lang w:val="cs-CZ"/>
        </w:rPr>
        <w:t>2</w:t>
      </w:r>
      <w:r w:rsidRPr="005D5F7C">
        <w:rPr>
          <w:rFonts w:ascii="Calibri" w:eastAsia="Calibri" w:hAnsi="Calibri" w:cs="Calibri"/>
          <w:bCs/>
          <w:sz w:val="20"/>
          <w:szCs w:val="20"/>
          <w:lang w:val="cs-CZ"/>
        </w:rPr>
        <w:t>. Přibližně 70 až 85 % plochy tvoří nákupní galerie, zbytek zauj</w:t>
      </w:r>
      <w:r w:rsidR="008E4CD5" w:rsidRPr="005D5F7C">
        <w:rPr>
          <w:rFonts w:ascii="Calibri" w:eastAsia="Calibri" w:hAnsi="Calibri" w:cs="Calibri"/>
          <w:bCs/>
          <w:sz w:val="20"/>
          <w:szCs w:val="20"/>
          <w:lang w:val="cs-CZ"/>
        </w:rPr>
        <w:t xml:space="preserve">ímají potravinové řetězce, </w:t>
      </w:r>
      <w:r w:rsidRPr="005D5F7C">
        <w:rPr>
          <w:rFonts w:ascii="Calibri" w:eastAsia="Calibri" w:hAnsi="Calibri" w:cs="Calibri"/>
          <w:bCs/>
          <w:sz w:val="20"/>
          <w:szCs w:val="20"/>
          <w:lang w:val="cs-CZ"/>
        </w:rPr>
        <w:t>multiplex</w:t>
      </w:r>
      <w:r w:rsidR="008E4CD5" w:rsidRPr="005D5F7C">
        <w:rPr>
          <w:rFonts w:ascii="Calibri" w:eastAsia="Calibri" w:hAnsi="Calibri" w:cs="Calibri"/>
          <w:bCs/>
          <w:sz w:val="20"/>
          <w:szCs w:val="20"/>
          <w:lang w:val="cs-CZ"/>
        </w:rPr>
        <w:t>y a další volnočasové koncepty jako dětské koutky, bowlingové herny, kasina nebo myčky aut</w:t>
      </w:r>
      <w:r w:rsidR="005F0A59" w:rsidRPr="005D5F7C">
        <w:rPr>
          <w:rFonts w:ascii="Calibri" w:eastAsia="Calibri" w:hAnsi="Calibri" w:cs="Calibri"/>
          <w:bCs/>
          <w:sz w:val="20"/>
          <w:szCs w:val="20"/>
          <w:lang w:val="cs-CZ"/>
        </w:rPr>
        <w:t>, které</w:t>
      </w:r>
      <w:r w:rsidRPr="005D5F7C">
        <w:rPr>
          <w:rFonts w:ascii="Calibri" w:eastAsia="Calibri" w:hAnsi="Calibri" w:cs="Calibri"/>
          <w:bCs/>
          <w:sz w:val="20"/>
          <w:szCs w:val="20"/>
          <w:lang w:val="cs-CZ"/>
        </w:rPr>
        <w:t xml:space="preserve"> se nachází až ve třetině center. Právě </w:t>
      </w:r>
      <w:r w:rsidR="008E4CD5" w:rsidRPr="005D5F7C">
        <w:rPr>
          <w:rFonts w:ascii="Calibri" w:eastAsia="Calibri" w:hAnsi="Calibri" w:cs="Calibri"/>
          <w:bCs/>
          <w:sz w:val="20"/>
          <w:szCs w:val="20"/>
          <w:lang w:val="cs-CZ"/>
        </w:rPr>
        <w:t xml:space="preserve">tyto segmenty </w:t>
      </w:r>
      <w:r w:rsidR="005F0A59" w:rsidRPr="005D5F7C">
        <w:rPr>
          <w:rFonts w:ascii="Calibri" w:eastAsia="Calibri" w:hAnsi="Calibri" w:cs="Calibri"/>
          <w:bCs/>
          <w:sz w:val="20"/>
          <w:szCs w:val="20"/>
          <w:lang w:val="cs-CZ"/>
        </w:rPr>
        <w:t xml:space="preserve">(mimo nákupní galerie) </w:t>
      </w:r>
      <w:r w:rsidRPr="005D5F7C">
        <w:rPr>
          <w:rFonts w:ascii="Calibri" w:eastAsia="Calibri" w:hAnsi="Calibri" w:cs="Calibri"/>
          <w:bCs/>
          <w:sz w:val="20"/>
          <w:szCs w:val="20"/>
          <w:lang w:val="cs-CZ"/>
        </w:rPr>
        <w:t xml:space="preserve">nejsou součástí indexu, protože by mohly způsobit zkreslení výsledků. </w:t>
      </w:r>
    </w:p>
    <w:p w14:paraId="6A317316" w14:textId="77777777" w:rsidR="008E4CD5" w:rsidRPr="005D5F7C" w:rsidRDefault="008E4CD5" w:rsidP="00F93CA4">
      <w:pPr>
        <w:jc w:val="both"/>
        <w:rPr>
          <w:rFonts w:ascii="Calibri" w:eastAsia="Calibri" w:hAnsi="Calibri" w:cs="Calibri"/>
          <w:bCs/>
          <w:sz w:val="20"/>
          <w:szCs w:val="20"/>
          <w:lang w:val="cs-CZ"/>
        </w:rPr>
      </w:pPr>
    </w:p>
    <w:p w14:paraId="02261BC3" w14:textId="77777777" w:rsidR="00F93CA4" w:rsidRPr="005D5F7C" w:rsidRDefault="00F93CA4" w:rsidP="00F93CA4">
      <w:pPr>
        <w:jc w:val="both"/>
        <w:rPr>
          <w:rFonts w:ascii="Calibri" w:eastAsia="Calibri" w:hAnsi="Calibri" w:cs="Calibri"/>
          <w:bCs/>
          <w:sz w:val="20"/>
          <w:szCs w:val="20"/>
          <w:u w:val="single"/>
          <w:lang w:val="cs-CZ"/>
        </w:rPr>
      </w:pPr>
      <w:r w:rsidRPr="005D5F7C">
        <w:rPr>
          <w:rFonts w:ascii="Calibri" w:eastAsia="Calibri" w:hAnsi="Calibri" w:cs="Calibri"/>
          <w:bCs/>
          <w:sz w:val="20"/>
          <w:szCs w:val="20"/>
          <w:u w:val="single"/>
          <w:lang w:val="cs-CZ"/>
        </w:rPr>
        <w:t>O CBRE Retail</w:t>
      </w:r>
    </w:p>
    <w:p w14:paraId="70147342" w14:textId="1652EBDC" w:rsidR="00A64564" w:rsidRPr="00F93CA4" w:rsidRDefault="00F93CA4" w:rsidP="00F93CA4">
      <w:pPr>
        <w:jc w:val="both"/>
        <w:rPr>
          <w:rFonts w:ascii="Calibri" w:eastAsia="Calibri" w:hAnsi="Calibri" w:cs="Calibri"/>
          <w:bCs/>
          <w:sz w:val="20"/>
          <w:szCs w:val="20"/>
          <w:lang w:val="cs-CZ"/>
        </w:rPr>
      </w:pPr>
      <w:r w:rsidRPr="005D5F7C">
        <w:rPr>
          <w:rFonts w:ascii="Calibri" w:eastAsia="Calibri" w:hAnsi="Calibri" w:cs="Calibri"/>
          <w:bCs/>
          <w:sz w:val="20"/>
          <w:szCs w:val="20"/>
          <w:lang w:val="cs-CZ"/>
        </w:rPr>
        <w:t xml:space="preserve">CBRE je </w:t>
      </w:r>
      <w:r w:rsidR="006727DC">
        <w:rPr>
          <w:rFonts w:ascii="Calibri" w:eastAsia="Calibri" w:hAnsi="Calibri" w:cs="Calibri"/>
          <w:bCs/>
          <w:sz w:val="20"/>
          <w:szCs w:val="20"/>
          <w:lang w:val="cs-CZ"/>
        </w:rPr>
        <w:t xml:space="preserve">expertem na </w:t>
      </w:r>
      <w:r w:rsidRPr="005D5F7C">
        <w:rPr>
          <w:rFonts w:ascii="Calibri" w:eastAsia="Calibri" w:hAnsi="Calibri" w:cs="Calibri"/>
          <w:bCs/>
          <w:sz w:val="20"/>
          <w:szCs w:val="20"/>
          <w:lang w:val="cs-CZ"/>
        </w:rPr>
        <w:t>správ</w:t>
      </w:r>
      <w:r w:rsidR="006727DC">
        <w:rPr>
          <w:rFonts w:ascii="Calibri" w:eastAsia="Calibri" w:hAnsi="Calibri" w:cs="Calibri"/>
          <w:bCs/>
          <w:sz w:val="20"/>
          <w:szCs w:val="20"/>
          <w:lang w:val="cs-CZ"/>
        </w:rPr>
        <w:t>u</w:t>
      </w:r>
      <w:r w:rsidRPr="005D5F7C">
        <w:rPr>
          <w:rFonts w:ascii="Calibri" w:eastAsia="Calibri" w:hAnsi="Calibri" w:cs="Calibri"/>
          <w:bCs/>
          <w:sz w:val="20"/>
          <w:szCs w:val="20"/>
          <w:lang w:val="cs-CZ"/>
        </w:rPr>
        <w:t xml:space="preserve"> maloobchodních ploch v České republice: aktuálně má ve správě 2</w:t>
      </w:r>
      <w:r w:rsidR="00063073">
        <w:rPr>
          <w:rFonts w:ascii="Calibri" w:eastAsia="Calibri" w:hAnsi="Calibri" w:cs="Calibri"/>
          <w:bCs/>
          <w:sz w:val="20"/>
          <w:szCs w:val="20"/>
          <w:lang w:val="cs-CZ"/>
        </w:rPr>
        <w:t>5</w:t>
      </w:r>
      <w:r w:rsidRPr="005D5F7C">
        <w:rPr>
          <w:rFonts w:ascii="Calibri" w:eastAsia="Calibri" w:hAnsi="Calibri" w:cs="Calibri"/>
          <w:bCs/>
          <w:sz w:val="20"/>
          <w:szCs w:val="20"/>
          <w:lang w:val="cs-CZ"/>
        </w:rPr>
        <w:t xml:space="preserve"> retailových nemovitostí s cca 500 000 m</w:t>
      </w:r>
      <w:r w:rsidRPr="005D5F7C">
        <w:rPr>
          <w:rFonts w:ascii="Calibri" w:eastAsia="Calibri" w:hAnsi="Calibri" w:cs="Calibri"/>
          <w:bCs/>
          <w:sz w:val="20"/>
          <w:szCs w:val="20"/>
          <w:vertAlign w:val="superscript"/>
          <w:lang w:val="cs-CZ"/>
        </w:rPr>
        <w:t>2</w:t>
      </w:r>
      <w:r w:rsidRPr="005D5F7C">
        <w:rPr>
          <w:rFonts w:ascii="Calibri" w:eastAsia="Calibri" w:hAnsi="Calibri" w:cs="Calibri"/>
          <w:bCs/>
          <w:sz w:val="20"/>
          <w:szCs w:val="20"/>
          <w:lang w:val="cs-CZ"/>
        </w:rPr>
        <w:t xml:space="preserve"> maloobchodních ploch. Poskytuje rozsáhlé a komplexní poradenství v</w:t>
      </w:r>
      <w:r w:rsidR="00BA6BCA" w:rsidRPr="005D5F7C">
        <w:rPr>
          <w:rFonts w:ascii="Calibri" w:eastAsia="Calibri" w:hAnsi="Calibri" w:cs="Calibri"/>
          <w:bCs/>
          <w:sz w:val="20"/>
          <w:szCs w:val="20"/>
          <w:lang w:val="cs-CZ"/>
        </w:rPr>
        <w:t> </w:t>
      </w:r>
      <w:r w:rsidRPr="005D5F7C">
        <w:rPr>
          <w:rFonts w:ascii="Calibri" w:eastAsia="Calibri" w:hAnsi="Calibri" w:cs="Calibri"/>
          <w:bCs/>
          <w:sz w:val="20"/>
          <w:szCs w:val="20"/>
          <w:lang w:val="cs-CZ"/>
        </w:rPr>
        <w:t>oblasti nákupu a</w:t>
      </w:r>
      <w:r w:rsidR="000D477B">
        <w:rPr>
          <w:rFonts w:ascii="Calibri" w:eastAsia="Calibri" w:hAnsi="Calibri" w:cs="Calibri"/>
          <w:bCs/>
          <w:sz w:val="20"/>
          <w:szCs w:val="20"/>
          <w:lang w:val="cs-CZ"/>
        </w:rPr>
        <w:t> </w:t>
      </w:r>
      <w:r w:rsidRPr="005D5F7C">
        <w:rPr>
          <w:rFonts w:ascii="Calibri" w:eastAsia="Calibri" w:hAnsi="Calibri" w:cs="Calibri"/>
          <w:bCs/>
          <w:sz w:val="20"/>
          <w:szCs w:val="20"/>
          <w:lang w:val="cs-CZ"/>
        </w:rPr>
        <w:t>prodeje maloobchodních aktiv, pronájmu maloobchodních prostor, zastupování nájemců při</w:t>
      </w:r>
      <w:r w:rsidR="00BA6BCA" w:rsidRPr="005D5F7C">
        <w:rPr>
          <w:rFonts w:ascii="Calibri" w:eastAsia="Calibri" w:hAnsi="Calibri" w:cs="Calibri"/>
          <w:bCs/>
          <w:sz w:val="20"/>
          <w:szCs w:val="20"/>
          <w:lang w:val="cs-CZ"/>
        </w:rPr>
        <w:t> </w:t>
      </w:r>
      <w:r w:rsidRPr="005D5F7C">
        <w:rPr>
          <w:rFonts w:ascii="Calibri" w:eastAsia="Calibri" w:hAnsi="Calibri" w:cs="Calibri"/>
          <w:bCs/>
          <w:sz w:val="20"/>
          <w:szCs w:val="20"/>
          <w:lang w:val="cs-CZ"/>
        </w:rPr>
        <w:t>vstupu na český trh nebo optimalizaci sítě prodejen, a dále správu, marketing a koncept design nákupních center a retail parků. V</w:t>
      </w:r>
      <w:r w:rsidR="000D477B">
        <w:rPr>
          <w:rFonts w:ascii="Calibri" w:eastAsia="Calibri" w:hAnsi="Calibri" w:cs="Calibri"/>
          <w:bCs/>
          <w:sz w:val="20"/>
          <w:szCs w:val="20"/>
          <w:lang w:val="cs-CZ"/>
        </w:rPr>
        <w:t> </w:t>
      </w:r>
      <w:r w:rsidRPr="005D5F7C">
        <w:rPr>
          <w:rFonts w:ascii="Calibri" w:eastAsia="Calibri" w:hAnsi="Calibri" w:cs="Calibri"/>
          <w:bCs/>
          <w:sz w:val="20"/>
          <w:szCs w:val="20"/>
          <w:lang w:val="cs-CZ"/>
        </w:rPr>
        <w:t>neposlední řadě je lídrem v průzkumu maloobchodního trhu a chování zákazníků.</w:t>
      </w:r>
    </w:p>
    <w:p w14:paraId="1ABDADEE" w14:textId="77777777" w:rsidR="00A64564" w:rsidRDefault="00A64564" w:rsidP="00A64564">
      <w:pPr>
        <w:jc w:val="both"/>
        <w:rPr>
          <w:rFonts w:ascii="Calibri" w:eastAsia="Calibri" w:hAnsi="Calibri" w:cs="Calibri"/>
          <w:bCs/>
          <w:lang w:val="cs-CZ"/>
        </w:rPr>
      </w:pPr>
    </w:p>
    <w:p w14:paraId="519CEA3F" w14:textId="77777777" w:rsidR="00A01EA7" w:rsidRPr="003A03CD" w:rsidRDefault="00A01EA7" w:rsidP="00A01EA7">
      <w:pPr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3A03CD">
        <w:rPr>
          <w:rFonts w:ascii="Calibri" w:eastAsia="Calibri" w:hAnsi="Calibri" w:cs="Calibri"/>
          <w:b/>
          <w:bCs/>
          <w:sz w:val="22"/>
          <w:szCs w:val="22"/>
          <w:lang w:val="cs-CZ"/>
        </w:rPr>
        <w:t>Kontakt:</w:t>
      </w:r>
    </w:p>
    <w:p w14:paraId="0BD35B7D" w14:textId="77777777" w:rsidR="00A01EA7" w:rsidRPr="003A03CD" w:rsidRDefault="00A01EA7" w:rsidP="00A01EA7">
      <w:pPr>
        <w:shd w:val="clear" w:color="auto" w:fill="FFFFFF"/>
        <w:spacing w:line="276" w:lineRule="auto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</w:pPr>
      <w:r w:rsidRPr="003A03CD">
        <w:rPr>
          <w:rFonts w:ascii="Calibri" w:eastAsia="Times New Roman" w:hAnsi="Calibri" w:cs="Calibri"/>
          <w:b/>
          <w:bCs/>
          <w:color w:val="auto"/>
          <w:sz w:val="22"/>
          <w:szCs w:val="22"/>
          <w:bdr w:val="none" w:sz="0" w:space="0" w:color="auto"/>
          <w:lang w:val="cs-CZ"/>
        </w:rPr>
        <w:t>Crest Communications, a.s.</w:t>
      </w:r>
      <w:r w:rsidRPr="003A03CD">
        <w:rPr>
          <w:rFonts w:ascii="Calibri" w:eastAsia="Times New Roman" w:hAnsi="Calibri" w:cs="Calibri"/>
          <w:b/>
          <w:bCs/>
          <w:color w:val="auto"/>
          <w:sz w:val="22"/>
          <w:szCs w:val="22"/>
          <w:bdr w:val="none" w:sz="0" w:space="0" w:color="auto"/>
          <w:lang w:val="cs-CZ"/>
        </w:rPr>
        <w:br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Denisa Kolaříková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  <w:t>Kamila Čadková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br/>
        <w:t>Account Manager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  <w:t>Account Director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br/>
        <w:t>Gsm: +420 731 613 606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Gsm: +420 731 613 609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br/>
        <w:t xml:space="preserve">email: </w:t>
      </w:r>
      <w:r w:rsidRPr="003A03CD">
        <w:rPr>
          <w:rFonts w:ascii="Calibri" w:eastAsia="Times New Roman" w:hAnsi="Calibri" w:cs="Calibri"/>
          <w:color w:val="0000FF"/>
          <w:sz w:val="22"/>
          <w:szCs w:val="22"/>
          <w:u w:val="single"/>
          <w:bdr w:val="none" w:sz="0" w:space="0" w:color="auto"/>
          <w:lang w:val="cs-CZ"/>
        </w:rPr>
        <w:t>denisa.kolarikova@crestcom.cz</w:t>
      </w:r>
      <w:r w:rsidRPr="003A03CD">
        <w:rPr>
          <w:rFonts w:ascii="Calibri" w:eastAsia="Times New Roman" w:hAnsi="Calibri" w:cs="Calibri"/>
          <w:color w:val="0000FF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0000FF"/>
          <w:sz w:val="22"/>
          <w:szCs w:val="22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0000FF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 xml:space="preserve">email: </w:t>
      </w:r>
      <w:hyperlink r:id="rId11" w:history="1">
        <w:r w:rsidRPr="003A03CD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/>
            <w:lang w:val="cs-CZ"/>
          </w:rPr>
          <w:t>kamila.cadkova@crestcom.cz</w:t>
        </w:r>
      </w:hyperlink>
      <w:r w:rsidRPr="003A03CD">
        <w:rPr>
          <w:rFonts w:ascii="Calibri" w:eastAsia="Times New Roman" w:hAnsi="Calibri" w:cs="Calibri"/>
          <w:color w:val="0000FF"/>
          <w:sz w:val="22"/>
          <w:szCs w:val="22"/>
          <w:u w:val="single"/>
          <w:bdr w:val="none" w:sz="0" w:space="0" w:color="auto"/>
          <w:lang w:val="cs-CZ"/>
        </w:rPr>
        <w:br/>
      </w:r>
      <w:hyperlink r:id="rId12" w:history="1">
        <w:r w:rsidRPr="003A03CD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/>
            <w:lang w:val="cs-CZ"/>
          </w:rPr>
          <w:t>www.crestcom.cz</w:t>
        </w:r>
      </w:hyperlink>
    </w:p>
    <w:p w14:paraId="466993C4" w14:textId="77777777" w:rsidR="00A01EA7" w:rsidRPr="003A03CD" w:rsidRDefault="00A01EA7" w:rsidP="00A01EA7">
      <w:pPr>
        <w:jc w:val="both"/>
        <w:rPr>
          <w:rFonts w:ascii="Calibri" w:eastAsia="Calibri" w:hAnsi="Calibri" w:cs="Calibri"/>
          <w:bCs/>
          <w:sz w:val="22"/>
          <w:szCs w:val="22"/>
          <w:lang w:val="cs-CZ"/>
        </w:rPr>
      </w:pPr>
    </w:p>
    <w:p w14:paraId="24E9E378" w14:textId="77777777" w:rsidR="00DD2FFF" w:rsidRPr="00F11866" w:rsidRDefault="00DD2FFF" w:rsidP="00DD2FFF">
      <w:pPr>
        <w:pStyle w:val="paragraph"/>
        <w:spacing w:before="0" w:beforeAutospacing="0" w:after="0" w:afterAutospacing="0"/>
        <w:contextualSpacing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11866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CBRE</w:t>
      </w:r>
      <w:r w:rsidRPr="00F11866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br/>
      </w:r>
      <w:r w:rsidRPr="00F11866">
        <w:rPr>
          <w:rStyle w:val="normaltextrun"/>
          <w:rFonts w:ascii="Calibri" w:hAnsi="Calibri" w:cs="Calibri"/>
          <w:color w:val="000000"/>
          <w:sz w:val="22"/>
          <w:szCs w:val="22"/>
        </w:rPr>
        <w:t>Renata Mrázová, Senior Communication Specialist, +420 604 308 765, </w:t>
      </w:r>
      <w:hyperlink r:id="rId13" w:history="1">
        <w:r w:rsidRPr="00F11866">
          <w:rPr>
            <w:rStyle w:val="Hypertextovodkaz"/>
            <w:rFonts w:ascii="Calibri" w:hAnsi="Calibri" w:cs="Calibri"/>
            <w:sz w:val="22"/>
            <w:szCs w:val="22"/>
          </w:rPr>
          <w:t>renata.mrazova@cbre.com</w:t>
        </w:r>
      </w:hyperlink>
      <w:r w:rsidRPr="00F11866">
        <w:rPr>
          <w:rStyle w:val="normaltextrun"/>
          <w:rFonts w:ascii="Calibri" w:hAnsi="Calibri" w:cs="Calibri"/>
          <w:color w:val="000000"/>
          <w:sz w:val="22"/>
          <w:szCs w:val="22"/>
          <w:u w:val="single"/>
        </w:rPr>
        <w:br/>
      </w:r>
      <w:r w:rsidRPr="00F11866">
        <w:rPr>
          <w:rStyle w:val="normaltextrun"/>
          <w:rFonts w:ascii="Calibri" w:hAnsi="Calibri" w:cs="Calibri"/>
          <w:color w:val="000000"/>
          <w:sz w:val="22"/>
          <w:szCs w:val="22"/>
        </w:rPr>
        <w:t>CBRE Czech Republic</w:t>
      </w:r>
      <w:r w:rsidRPr="00F11866">
        <w:rPr>
          <w:rStyle w:val="normaltextrun"/>
          <w:rFonts w:ascii="Calibri" w:hAnsi="Calibri" w:cs="Calibri"/>
          <w:color w:val="1F497D"/>
          <w:sz w:val="22"/>
          <w:szCs w:val="22"/>
        </w:rPr>
        <w:t> </w:t>
      </w:r>
      <w:hyperlink r:id="rId14" w:tgtFrame="_blank" w:history="1">
        <w:r w:rsidRPr="00F11866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Facebook</w:t>
        </w:r>
      </w:hyperlink>
      <w:r w:rsidRPr="00F11866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t>,</w:t>
      </w:r>
      <w:r w:rsidRPr="00F11866">
        <w:rPr>
          <w:rStyle w:val="normaltextrun"/>
          <w:rFonts w:ascii="Calibri" w:hAnsi="Calibri" w:cs="Calibri"/>
          <w:color w:val="0000FF"/>
          <w:sz w:val="22"/>
          <w:szCs w:val="22"/>
        </w:rPr>
        <w:t> </w:t>
      </w:r>
      <w:hyperlink r:id="rId15" w:tgtFrame="_blank" w:history="1">
        <w:r w:rsidRPr="00F11866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Linkedin</w:t>
        </w:r>
      </w:hyperlink>
      <w:r w:rsidRPr="00F11866">
        <w:rPr>
          <w:rStyle w:val="normaltextrun"/>
          <w:rFonts w:ascii="Calibri" w:hAnsi="Calibri" w:cs="Calibri"/>
          <w:color w:val="000000"/>
          <w:sz w:val="22"/>
          <w:szCs w:val="22"/>
        </w:rPr>
        <w:t>, </w:t>
      </w:r>
      <w:hyperlink r:id="rId16" w:tgtFrame="_blank" w:history="1">
        <w:r w:rsidRPr="00F11866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Instagram</w:t>
        </w:r>
      </w:hyperlink>
      <w:r w:rsidRPr="00F11866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BC84910" w14:textId="77777777" w:rsidR="00DD2FFF" w:rsidRPr="00F11866" w:rsidRDefault="00DD2FFF" w:rsidP="00DD2FFF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18"/>
          <w:szCs w:val="18"/>
        </w:rPr>
      </w:pPr>
      <w:r w:rsidRPr="00F11866">
        <w:rPr>
          <w:rStyle w:val="scxw231575668"/>
          <w:rFonts w:ascii="Calibri" w:hAnsi="Calibri" w:cs="Calibri"/>
          <w:color w:val="000000"/>
        </w:rPr>
        <w:t> </w:t>
      </w:r>
      <w:r w:rsidRPr="00F11866">
        <w:rPr>
          <w:rFonts w:ascii="Calibri" w:hAnsi="Calibri" w:cs="Calibri"/>
          <w:color w:val="000000"/>
        </w:rPr>
        <w:br/>
      </w:r>
      <w:r w:rsidRPr="00F11866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u w:val="single"/>
        </w:rPr>
        <w:t>O CBRE</w:t>
      </w:r>
      <w:r w:rsidRPr="00F11866">
        <w:rPr>
          <w:rStyle w:val="eop"/>
          <w:rFonts w:ascii="Calibri" w:hAnsi="Calibri" w:cs="Calibri"/>
          <w:color w:val="000000"/>
          <w:sz w:val="18"/>
          <w:szCs w:val="18"/>
        </w:rPr>
        <w:t> </w:t>
      </w:r>
    </w:p>
    <w:p w14:paraId="4193792F" w14:textId="3F7B9BF2" w:rsidR="00A01EA7" w:rsidRDefault="00DD2FFF" w:rsidP="004A5A45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Cs/>
        </w:rPr>
      </w:pPr>
      <w:r w:rsidRPr="00F11866">
        <w:rPr>
          <w:rStyle w:val="normaltextrun"/>
          <w:rFonts w:ascii="Calibri" w:hAnsi="Calibri" w:cs="Calibri"/>
          <w:color w:val="000000"/>
          <w:sz w:val="18"/>
          <w:szCs w:val="18"/>
        </w:rPr>
        <w:t>CBRE Group, společnost figurující na žebříčku </w:t>
      </w:r>
      <w:r w:rsidRPr="00F11866">
        <w:rPr>
          <w:rStyle w:val="spellingerror"/>
          <w:rFonts w:ascii="Calibri" w:hAnsi="Calibri" w:cs="Calibri"/>
          <w:color w:val="000000"/>
          <w:sz w:val="18"/>
          <w:szCs w:val="18"/>
        </w:rPr>
        <w:t>Fortune</w:t>
      </w:r>
      <w:r w:rsidRPr="00F11866">
        <w:rPr>
          <w:rStyle w:val="normaltextrun"/>
          <w:rFonts w:ascii="Calibri" w:hAnsi="Calibri" w:cs="Calibri"/>
          <w:color w:val="000000"/>
          <w:sz w:val="18"/>
          <w:szCs w:val="18"/>
        </w:rPr>
        <w:t> 500 a indexu S&amp;P 500 se sídlem v Dallasu, je světovou vedoucí společností v oblasti realitních služeb a investic (z hlediska výnosů za rok 2020). S přibližně 100 000 zaměstnanci poskytuje služby majitelům nemovitostí, investorům a nájemníkům prostřednictvím více než 530 poboček po celém světě (do tohoto součtu nejsou započteny dceřiné společnosti). Společnost CBRE poskytuje širokou škálu integrovaných služeb od správy a údržby nemovitostí, obchodních transakcí, projektového managementu, investičního managementu přes oceňování nemovitostí, pronájmu a prodeje nemovitostí, strategického poradenství až po hypoteční a developerské služby. S téměř 350 zaměstnanci CBRE v České republice spravuje téměř 75 objektů komerčních budov o celkové rozloze téměř 1,2 mil. m</w:t>
      </w:r>
      <w:r w:rsidRPr="00F11866">
        <w:rPr>
          <w:rStyle w:val="normaltextrun"/>
          <w:rFonts w:ascii="Calibri" w:hAnsi="Calibri" w:cs="Calibri"/>
          <w:color w:val="000000"/>
          <w:sz w:val="14"/>
          <w:szCs w:val="14"/>
          <w:vertAlign w:val="superscript"/>
        </w:rPr>
        <w:t>2</w:t>
      </w:r>
      <w:r w:rsidRPr="00F11866">
        <w:rPr>
          <w:rStyle w:val="normaltextrun"/>
          <w:rFonts w:ascii="Calibri" w:hAnsi="Calibri" w:cs="Calibri"/>
          <w:color w:val="000000"/>
          <w:sz w:val="18"/>
          <w:szCs w:val="18"/>
        </w:rPr>
        <w:t>. Pro více informací navštivte internetové stránky společnosti na </w:t>
      </w:r>
      <w:hyperlink r:id="rId17" w:tgtFrame="_blank" w:history="1">
        <w:r w:rsidRPr="00F11866">
          <w:rPr>
            <w:rStyle w:val="normaltextrun"/>
            <w:rFonts w:ascii="Calibri" w:hAnsi="Calibri" w:cs="Calibri"/>
            <w:color w:val="0000FF"/>
            <w:sz w:val="18"/>
            <w:szCs w:val="18"/>
            <w:u w:val="single"/>
          </w:rPr>
          <w:t>www.cbre.cz</w:t>
        </w:r>
      </w:hyperlink>
      <w:r w:rsidRPr="00F11866">
        <w:rPr>
          <w:rStyle w:val="normaltextrun"/>
          <w:rFonts w:ascii="Calibri" w:hAnsi="Calibri" w:cs="Calibri"/>
          <w:color w:val="000000"/>
          <w:sz w:val="18"/>
          <w:szCs w:val="18"/>
        </w:rPr>
        <w:t>.</w:t>
      </w:r>
      <w:r w:rsidRPr="00F11866">
        <w:rPr>
          <w:rStyle w:val="eop"/>
          <w:rFonts w:ascii="Calibri" w:hAnsi="Calibri" w:cs="Calibri"/>
          <w:color w:val="000000"/>
          <w:sz w:val="18"/>
          <w:szCs w:val="18"/>
        </w:rPr>
        <w:t> </w:t>
      </w:r>
    </w:p>
    <w:sectPr w:rsidR="00A01EA7" w:rsidSect="004818C2">
      <w:headerReference w:type="default" r:id="rId18"/>
      <w:headerReference w:type="first" r:id="rId19"/>
      <w:pgSz w:w="12240" w:h="15840"/>
      <w:pgMar w:top="1417" w:right="1417" w:bottom="1417" w:left="1417" w:header="1800" w:footer="720" w:gutter="0"/>
      <w:cols w:space="708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5DBD9" w16cex:dateUtc="2021-06-17T12:34:00Z"/>
  <w16cex:commentExtensible w16cex:durableId="2476F729" w16cex:dateUtc="2021-06-18T08:42:00Z"/>
  <w16cex:commentExtensible w16cex:durableId="247B5D0A" w16cex:dateUtc="2021-06-21T16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9199097" w16cid:durableId="2475B5A2"/>
  <w16cid:commentId w16cid:paraId="6BC829B7" w16cid:durableId="2475DBD9"/>
  <w16cid:commentId w16cid:paraId="265E5A78" w16cid:durableId="2476F729"/>
  <w16cid:commentId w16cid:paraId="3B83861B" w16cid:durableId="247B5D0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D59F4" w14:textId="77777777" w:rsidR="009A2189" w:rsidRDefault="009A2189" w:rsidP="004818C2">
      <w:r>
        <w:separator/>
      </w:r>
    </w:p>
  </w:endnote>
  <w:endnote w:type="continuationSeparator" w:id="0">
    <w:p w14:paraId="713A6D8E" w14:textId="77777777" w:rsidR="009A2189" w:rsidRDefault="009A2189" w:rsidP="0048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A8FC9" w14:textId="77777777" w:rsidR="009A2189" w:rsidRDefault="009A2189" w:rsidP="004818C2">
      <w:r>
        <w:separator/>
      </w:r>
    </w:p>
  </w:footnote>
  <w:footnote w:type="continuationSeparator" w:id="0">
    <w:p w14:paraId="318BE52D" w14:textId="77777777" w:rsidR="009A2189" w:rsidRDefault="009A2189" w:rsidP="00481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0F2B9" w14:textId="38DE56CE" w:rsidR="00811A55" w:rsidRDefault="00674910" w:rsidP="004818C2">
    <w:pPr>
      <w:pStyle w:val="Zhlav"/>
      <w:jc w:val="right"/>
    </w:pPr>
    <w:r>
      <w:rPr>
        <w:rFonts w:ascii="Arial" w:hAnsi="Arial"/>
        <w:b/>
        <w:bCs/>
        <w:sz w:val="16"/>
        <w:szCs w:val="16"/>
      </w:rPr>
      <w:t xml:space="preserve">Tisková </w:t>
    </w:r>
    <w:r w:rsidR="0074248D">
      <w:rPr>
        <w:rFonts w:ascii="Arial" w:hAnsi="Arial"/>
        <w:b/>
        <w:bCs/>
        <w:sz w:val="16"/>
        <w:szCs w:val="16"/>
      </w:rPr>
      <w:t>zpráva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74465" w14:textId="31B08B44" w:rsidR="00811A55" w:rsidRDefault="004818C2" w:rsidP="004818C2">
    <w:pPr>
      <w:pStyle w:val="AddressArea"/>
      <w:ind w:left="0"/>
    </w:pPr>
    <w:r>
      <w:rPr>
        <w:noProof/>
        <w:lang w:val="cs-CZ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61D7942" wp14:editId="570B6DDE">
              <wp:simplePos x="0" y="0"/>
              <wp:positionH relativeFrom="page">
                <wp:posOffset>717550</wp:posOffset>
              </wp:positionH>
              <wp:positionV relativeFrom="page">
                <wp:posOffset>790575</wp:posOffset>
              </wp:positionV>
              <wp:extent cx="4800600" cy="571500"/>
              <wp:effectExtent l="0" t="0" r="0" b="0"/>
              <wp:wrapNone/>
              <wp:docPr id="1073741825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1F6FE2B" w14:textId="6D9DFFDA" w:rsidR="00811A55" w:rsidRPr="001035ED" w:rsidRDefault="00674910">
                          <w:pPr>
                            <w:ind w:left="180"/>
                            <w:rPr>
                              <w:sz w:val="44"/>
                              <w:szCs w:val="44"/>
                            </w:rPr>
                          </w:pPr>
                          <w:r w:rsidRPr="001035ED">
                            <w:rPr>
                              <w:rFonts w:ascii="Arial" w:hAnsi="Arial"/>
                              <w:spacing w:val="118"/>
                              <w:sz w:val="44"/>
                              <w:szCs w:val="44"/>
                            </w:rPr>
                            <w:t xml:space="preserve">TISKOVÁ </w:t>
                          </w:r>
                          <w:r w:rsidR="0074248D">
                            <w:rPr>
                              <w:rFonts w:ascii="Arial" w:hAnsi="Arial"/>
                              <w:spacing w:val="118"/>
                              <w:sz w:val="44"/>
                              <w:szCs w:val="44"/>
                            </w:rPr>
                            <w:t>ZPRÁVA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61D794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3" style="position:absolute;margin-left:56.5pt;margin-top:62.25pt;width:378pt;height:45pt;z-index:-25165824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" filled="f" stroked="f" strokeweight="1pt">
              <v:stroke miterlimit="4"/>
              <v:textbox inset="1.2699mm,1.2699mm,1.2699mm,1.2699mm">
                <w:txbxContent>
                  <w:p w14:paraId="31F6FE2B" w14:textId="6D9DFFDA" w:rsidR="00811A55" w:rsidRPr="001035ED" w:rsidRDefault="00674910">
                    <w:pPr>
                      <w:ind w:left="180"/>
                      <w:rPr>
                        <w:sz w:val="44"/>
                        <w:szCs w:val="44"/>
                      </w:rPr>
                    </w:pPr>
                    <w:r w:rsidRPr="001035ED">
                      <w:rPr>
                        <w:rFonts w:ascii="Arial" w:hAnsi="Arial"/>
                        <w:spacing w:val="118"/>
                        <w:sz w:val="44"/>
                        <w:szCs w:val="44"/>
                      </w:rPr>
                      <w:t xml:space="preserve">TISKOVÁ </w:t>
                    </w:r>
                    <w:r w:rsidR="0074248D">
                      <w:rPr>
                        <w:rFonts w:ascii="Arial" w:hAnsi="Arial"/>
                        <w:spacing w:val="118"/>
                        <w:sz w:val="44"/>
                        <w:szCs w:val="44"/>
                      </w:rPr>
                      <w:t>ZPRÁVA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/>
      </w:rPr>
      <w:drawing>
        <wp:anchor distT="0" distB="0" distL="114300" distR="114300" simplePos="0" relativeHeight="251659264" behindDoc="0" locked="0" layoutInCell="1" allowOverlap="1" wp14:anchorId="5B7DAE0C" wp14:editId="2FB15F93">
          <wp:simplePos x="0" y="0"/>
          <wp:positionH relativeFrom="margin">
            <wp:align>right</wp:align>
          </wp:positionH>
          <wp:positionV relativeFrom="page">
            <wp:posOffset>279400</wp:posOffset>
          </wp:positionV>
          <wp:extent cx="1267200" cy="320400"/>
          <wp:effectExtent l="0" t="0" r="0" b="3810"/>
          <wp:wrapNone/>
          <wp:docPr id="3" name="Obrázek 3" descr="2011_CBRE_Logo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1_CBRE_Logo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3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F6CA8"/>
    <w:multiLevelType w:val="hybridMultilevel"/>
    <w:tmpl w:val="C8F87C28"/>
    <w:lvl w:ilvl="0" w:tplc="B36CC7E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A017D"/>
    <w:multiLevelType w:val="multilevel"/>
    <w:tmpl w:val="9B72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7C1E4F"/>
    <w:multiLevelType w:val="hybridMultilevel"/>
    <w:tmpl w:val="00E0E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92613"/>
    <w:multiLevelType w:val="hybridMultilevel"/>
    <w:tmpl w:val="C7E2E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55"/>
    <w:rsid w:val="00001980"/>
    <w:rsid w:val="00001A08"/>
    <w:rsid w:val="00005753"/>
    <w:rsid w:val="00005B12"/>
    <w:rsid w:val="000079ED"/>
    <w:rsid w:val="000106B0"/>
    <w:rsid w:val="00014C7D"/>
    <w:rsid w:val="0001507F"/>
    <w:rsid w:val="000253DA"/>
    <w:rsid w:val="000269CF"/>
    <w:rsid w:val="00033DC4"/>
    <w:rsid w:val="000357EF"/>
    <w:rsid w:val="00041303"/>
    <w:rsid w:val="0004552E"/>
    <w:rsid w:val="00045CAB"/>
    <w:rsid w:val="0004661B"/>
    <w:rsid w:val="000466D3"/>
    <w:rsid w:val="00046C38"/>
    <w:rsid w:val="00050C77"/>
    <w:rsid w:val="000523BE"/>
    <w:rsid w:val="00052C95"/>
    <w:rsid w:val="00056EF6"/>
    <w:rsid w:val="00057EE9"/>
    <w:rsid w:val="00057FC6"/>
    <w:rsid w:val="00063073"/>
    <w:rsid w:val="00064188"/>
    <w:rsid w:val="000645D6"/>
    <w:rsid w:val="00064D98"/>
    <w:rsid w:val="00064F08"/>
    <w:rsid w:val="0006560A"/>
    <w:rsid w:val="000660DB"/>
    <w:rsid w:val="00066894"/>
    <w:rsid w:val="0007436F"/>
    <w:rsid w:val="00076D3F"/>
    <w:rsid w:val="00077FB3"/>
    <w:rsid w:val="000859B7"/>
    <w:rsid w:val="00086708"/>
    <w:rsid w:val="00086AAA"/>
    <w:rsid w:val="000908FB"/>
    <w:rsid w:val="000914E0"/>
    <w:rsid w:val="000923D3"/>
    <w:rsid w:val="00093EE0"/>
    <w:rsid w:val="000946AB"/>
    <w:rsid w:val="000946DC"/>
    <w:rsid w:val="00094A48"/>
    <w:rsid w:val="000960A1"/>
    <w:rsid w:val="000A3A66"/>
    <w:rsid w:val="000A534D"/>
    <w:rsid w:val="000B0483"/>
    <w:rsid w:val="000B0693"/>
    <w:rsid w:val="000B06E6"/>
    <w:rsid w:val="000B0A7B"/>
    <w:rsid w:val="000B17E6"/>
    <w:rsid w:val="000B6705"/>
    <w:rsid w:val="000B710A"/>
    <w:rsid w:val="000C0051"/>
    <w:rsid w:val="000C18BD"/>
    <w:rsid w:val="000C3DD0"/>
    <w:rsid w:val="000C5660"/>
    <w:rsid w:val="000C5DE7"/>
    <w:rsid w:val="000C60FF"/>
    <w:rsid w:val="000C7165"/>
    <w:rsid w:val="000D0039"/>
    <w:rsid w:val="000D0792"/>
    <w:rsid w:val="000D09EE"/>
    <w:rsid w:val="000D4279"/>
    <w:rsid w:val="000D477B"/>
    <w:rsid w:val="000D4A2E"/>
    <w:rsid w:val="000D4AB5"/>
    <w:rsid w:val="000D4D10"/>
    <w:rsid w:val="000D5159"/>
    <w:rsid w:val="000D6551"/>
    <w:rsid w:val="000D677A"/>
    <w:rsid w:val="000E0466"/>
    <w:rsid w:val="000E06C7"/>
    <w:rsid w:val="000E1C4F"/>
    <w:rsid w:val="000E1C98"/>
    <w:rsid w:val="000E2726"/>
    <w:rsid w:val="000E390F"/>
    <w:rsid w:val="000E684D"/>
    <w:rsid w:val="000E7772"/>
    <w:rsid w:val="000F0C45"/>
    <w:rsid w:val="000F12A4"/>
    <w:rsid w:val="000F1AAB"/>
    <w:rsid w:val="000F3BD4"/>
    <w:rsid w:val="00101A97"/>
    <w:rsid w:val="00102EFE"/>
    <w:rsid w:val="001035ED"/>
    <w:rsid w:val="001055E6"/>
    <w:rsid w:val="00105713"/>
    <w:rsid w:val="001065D6"/>
    <w:rsid w:val="00111AD8"/>
    <w:rsid w:val="00111E58"/>
    <w:rsid w:val="00115E41"/>
    <w:rsid w:val="0012008F"/>
    <w:rsid w:val="00123B13"/>
    <w:rsid w:val="00123EAE"/>
    <w:rsid w:val="001254AE"/>
    <w:rsid w:val="00126B7C"/>
    <w:rsid w:val="00127769"/>
    <w:rsid w:val="00127BFD"/>
    <w:rsid w:val="001303B7"/>
    <w:rsid w:val="0013196E"/>
    <w:rsid w:val="0013208B"/>
    <w:rsid w:val="00134891"/>
    <w:rsid w:val="00140206"/>
    <w:rsid w:val="00140F89"/>
    <w:rsid w:val="00142870"/>
    <w:rsid w:val="001469CA"/>
    <w:rsid w:val="00146BD0"/>
    <w:rsid w:val="00151796"/>
    <w:rsid w:val="00152756"/>
    <w:rsid w:val="00152930"/>
    <w:rsid w:val="0016058C"/>
    <w:rsid w:val="00160E33"/>
    <w:rsid w:val="001625D6"/>
    <w:rsid w:val="00164426"/>
    <w:rsid w:val="00164DB4"/>
    <w:rsid w:val="001651A7"/>
    <w:rsid w:val="001665F3"/>
    <w:rsid w:val="0016686E"/>
    <w:rsid w:val="001673F6"/>
    <w:rsid w:val="00171790"/>
    <w:rsid w:val="0017365B"/>
    <w:rsid w:val="001743B3"/>
    <w:rsid w:val="0017454E"/>
    <w:rsid w:val="001763D4"/>
    <w:rsid w:val="00181C09"/>
    <w:rsid w:val="00185302"/>
    <w:rsid w:val="0018540E"/>
    <w:rsid w:val="001877CC"/>
    <w:rsid w:val="00187DF2"/>
    <w:rsid w:val="00187EF0"/>
    <w:rsid w:val="001903F3"/>
    <w:rsid w:val="00192C75"/>
    <w:rsid w:val="00193365"/>
    <w:rsid w:val="0019686A"/>
    <w:rsid w:val="001A0919"/>
    <w:rsid w:val="001A1385"/>
    <w:rsid w:val="001A299D"/>
    <w:rsid w:val="001A382D"/>
    <w:rsid w:val="001A77A5"/>
    <w:rsid w:val="001C110D"/>
    <w:rsid w:val="001C167C"/>
    <w:rsid w:val="001C5159"/>
    <w:rsid w:val="001C607B"/>
    <w:rsid w:val="001C64F3"/>
    <w:rsid w:val="001D0DB9"/>
    <w:rsid w:val="001D6B5F"/>
    <w:rsid w:val="001D737C"/>
    <w:rsid w:val="001E1159"/>
    <w:rsid w:val="001E33C0"/>
    <w:rsid w:val="001E35E8"/>
    <w:rsid w:val="001E3C76"/>
    <w:rsid w:val="001E6D40"/>
    <w:rsid w:val="001F074F"/>
    <w:rsid w:val="001F181F"/>
    <w:rsid w:val="001F20DA"/>
    <w:rsid w:val="001F320C"/>
    <w:rsid w:val="001F54B0"/>
    <w:rsid w:val="001F62CB"/>
    <w:rsid w:val="001F6C1D"/>
    <w:rsid w:val="00201C3E"/>
    <w:rsid w:val="002029EE"/>
    <w:rsid w:val="00212555"/>
    <w:rsid w:val="0021301C"/>
    <w:rsid w:val="00217B06"/>
    <w:rsid w:val="00221B1F"/>
    <w:rsid w:val="00221FD7"/>
    <w:rsid w:val="00223C21"/>
    <w:rsid w:val="00233472"/>
    <w:rsid w:val="0024164E"/>
    <w:rsid w:val="0024184B"/>
    <w:rsid w:val="002429CF"/>
    <w:rsid w:val="00242E44"/>
    <w:rsid w:val="002459CD"/>
    <w:rsid w:val="00245B9A"/>
    <w:rsid w:val="00250415"/>
    <w:rsid w:val="00250516"/>
    <w:rsid w:val="00251493"/>
    <w:rsid w:val="00255E93"/>
    <w:rsid w:val="002620B6"/>
    <w:rsid w:val="0026275B"/>
    <w:rsid w:val="00262FEC"/>
    <w:rsid w:val="00270AA9"/>
    <w:rsid w:val="0027382B"/>
    <w:rsid w:val="00274BD1"/>
    <w:rsid w:val="0028020A"/>
    <w:rsid w:val="002834B0"/>
    <w:rsid w:val="00285BB6"/>
    <w:rsid w:val="00290974"/>
    <w:rsid w:val="00291BBB"/>
    <w:rsid w:val="00294340"/>
    <w:rsid w:val="00295CA7"/>
    <w:rsid w:val="00296635"/>
    <w:rsid w:val="002A0E3B"/>
    <w:rsid w:val="002A115B"/>
    <w:rsid w:val="002A18A7"/>
    <w:rsid w:val="002A6023"/>
    <w:rsid w:val="002A7BC9"/>
    <w:rsid w:val="002A7EF1"/>
    <w:rsid w:val="002B1334"/>
    <w:rsid w:val="002B1A78"/>
    <w:rsid w:val="002B2F28"/>
    <w:rsid w:val="002B38A3"/>
    <w:rsid w:val="002B4D50"/>
    <w:rsid w:val="002B5829"/>
    <w:rsid w:val="002C0598"/>
    <w:rsid w:val="002C0B22"/>
    <w:rsid w:val="002C2E7F"/>
    <w:rsid w:val="002C3022"/>
    <w:rsid w:val="002C314C"/>
    <w:rsid w:val="002C3BBD"/>
    <w:rsid w:val="002C47E3"/>
    <w:rsid w:val="002C488B"/>
    <w:rsid w:val="002C4B73"/>
    <w:rsid w:val="002C571E"/>
    <w:rsid w:val="002D2E62"/>
    <w:rsid w:val="002E139A"/>
    <w:rsid w:val="002E309A"/>
    <w:rsid w:val="002E4A87"/>
    <w:rsid w:val="002E7113"/>
    <w:rsid w:val="002E7EB8"/>
    <w:rsid w:val="002F008B"/>
    <w:rsid w:val="002F01B2"/>
    <w:rsid w:val="002F291F"/>
    <w:rsid w:val="002F2A5B"/>
    <w:rsid w:val="002F5B2C"/>
    <w:rsid w:val="002F76BA"/>
    <w:rsid w:val="00300A1A"/>
    <w:rsid w:val="00301817"/>
    <w:rsid w:val="00302A85"/>
    <w:rsid w:val="0030407F"/>
    <w:rsid w:val="00306D0F"/>
    <w:rsid w:val="00306DB8"/>
    <w:rsid w:val="0031136D"/>
    <w:rsid w:val="00311B1F"/>
    <w:rsid w:val="00312D16"/>
    <w:rsid w:val="0031560E"/>
    <w:rsid w:val="00315AFC"/>
    <w:rsid w:val="00317ED7"/>
    <w:rsid w:val="0032016C"/>
    <w:rsid w:val="0032273A"/>
    <w:rsid w:val="0032288E"/>
    <w:rsid w:val="00323DF8"/>
    <w:rsid w:val="00325134"/>
    <w:rsid w:val="00325A72"/>
    <w:rsid w:val="003266A6"/>
    <w:rsid w:val="003268C2"/>
    <w:rsid w:val="00327C5F"/>
    <w:rsid w:val="003300E1"/>
    <w:rsid w:val="00343701"/>
    <w:rsid w:val="00347BFC"/>
    <w:rsid w:val="003512FA"/>
    <w:rsid w:val="00357C8A"/>
    <w:rsid w:val="00357DFD"/>
    <w:rsid w:val="00361DC5"/>
    <w:rsid w:val="00362FF5"/>
    <w:rsid w:val="0036319B"/>
    <w:rsid w:val="003656F1"/>
    <w:rsid w:val="0037191F"/>
    <w:rsid w:val="00373246"/>
    <w:rsid w:val="003766EC"/>
    <w:rsid w:val="00376B31"/>
    <w:rsid w:val="00384DB2"/>
    <w:rsid w:val="00386218"/>
    <w:rsid w:val="00387730"/>
    <w:rsid w:val="003A03CD"/>
    <w:rsid w:val="003A0FAC"/>
    <w:rsid w:val="003A4873"/>
    <w:rsid w:val="003B11CF"/>
    <w:rsid w:val="003B340F"/>
    <w:rsid w:val="003B348C"/>
    <w:rsid w:val="003B4AFA"/>
    <w:rsid w:val="003B6E41"/>
    <w:rsid w:val="003C04E6"/>
    <w:rsid w:val="003C09F6"/>
    <w:rsid w:val="003C2126"/>
    <w:rsid w:val="003C4984"/>
    <w:rsid w:val="003C4DD0"/>
    <w:rsid w:val="003C51DB"/>
    <w:rsid w:val="003C7035"/>
    <w:rsid w:val="003C7D96"/>
    <w:rsid w:val="003D284D"/>
    <w:rsid w:val="003D2851"/>
    <w:rsid w:val="003D379B"/>
    <w:rsid w:val="003D38BC"/>
    <w:rsid w:val="003D43B3"/>
    <w:rsid w:val="003D5325"/>
    <w:rsid w:val="003D7D95"/>
    <w:rsid w:val="003E586D"/>
    <w:rsid w:val="003E5FDB"/>
    <w:rsid w:val="003F285B"/>
    <w:rsid w:val="00402ADE"/>
    <w:rsid w:val="0040332B"/>
    <w:rsid w:val="00403E0C"/>
    <w:rsid w:val="00404B4F"/>
    <w:rsid w:val="00404DDC"/>
    <w:rsid w:val="00404FD9"/>
    <w:rsid w:val="0040535A"/>
    <w:rsid w:val="004073A8"/>
    <w:rsid w:val="00407C85"/>
    <w:rsid w:val="004203EE"/>
    <w:rsid w:val="00420DE2"/>
    <w:rsid w:val="004231E2"/>
    <w:rsid w:val="004238A5"/>
    <w:rsid w:val="00424F3B"/>
    <w:rsid w:val="004252CC"/>
    <w:rsid w:val="0042591F"/>
    <w:rsid w:val="00431B32"/>
    <w:rsid w:val="00434D6D"/>
    <w:rsid w:val="00435243"/>
    <w:rsid w:val="0043531F"/>
    <w:rsid w:val="004376D6"/>
    <w:rsid w:val="004443EA"/>
    <w:rsid w:val="0044463E"/>
    <w:rsid w:val="0044774C"/>
    <w:rsid w:val="004528E6"/>
    <w:rsid w:val="004660AB"/>
    <w:rsid w:val="00467849"/>
    <w:rsid w:val="00472A47"/>
    <w:rsid w:val="00475A7C"/>
    <w:rsid w:val="004806A5"/>
    <w:rsid w:val="004818C2"/>
    <w:rsid w:val="00482F4A"/>
    <w:rsid w:val="00484919"/>
    <w:rsid w:val="00484CDD"/>
    <w:rsid w:val="0048663C"/>
    <w:rsid w:val="004879B4"/>
    <w:rsid w:val="00493742"/>
    <w:rsid w:val="004948D8"/>
    <w:rsid w:val="00494999"/>
    <w:rsid w:val="004A317B"/>
    <w:rsid w:val="004A53C7"/>
    <w:rsid w:val="004A5A45"/>
    <w:rsid w:val="004A5AB0"/>
    <w:rsid w:val="004B353F"/>
    <w:rsid w:val="004B48E9"/>
    <w:rsid w:val="004B5158"/>
    <w:rsid w:val="004B5C4F"/>
    <w:rsid w:val="004B73AC"/>
    <w:rsid w:val="004C146B"/>
    <w:rsid w:val="004C3888"/>
    <w:rsid w:val="004C3B29"/>
    <w:rsid w:val="004C4228"/>
    <w:rsid w:val="004C42FD"/>
    <w:rsid w:val="004C6D11"/>
    <w:rsid w:val="004C7FD4"/>
    <w:rsid w:val="004D3F86"/>
    <w:rsid w:val="004D4ED0"/>
    <w:rsid w:val="004D6ED4"/>
    <w:rsid w:val="004D7982"/>
    <w:rsid w:val="004E0CF0"/>
    <w:rsid w:val="004E202C"/>
    <w:rsid w:val="004E2904"/>
    <w:rsid w:val="004E535D"/>
    <w:rsid w:val="004E689B"/>
    <w:rsid w:val="004E7F69"/>
    <w:rsid w:val="004F0690"/>
    <w:rsid w:val="004F12ED"/>
    <w:rsid w:val="004F43E7"/>
    <w:rsid w:val="004F46B5"/>
    <w:rsid w:val="004F585E"/>
    <w:rsid w:val="00500F7D"/>
    <w:rsid w:val="005018F3"/>
    <w:rsid w:val="00503662"/>
    <w:rsid w:val="005039A1"/>
    <w:rsid w:val="00505AA9"/>
    <w:rsid w:val="00513A7F"/>
    <w:rsid w:val="005327C5"/>
    <w:rsid w:val="00535597"/>
    <w:rsid w:val="00536FCC"/>
    <w:rsid w:val="0054109B"/>
    <w:rsid w:val="00542647"/>
    <w:rsid w:val="0054341F"/>
    <w:rsid w:val="005508A0"/>
    <w:rsid w:val="00553CFB"/>
    <w:rsid w:val="005623D9"/>
    <w:rsid w:val="005702BE"/>
    <w:rsid w:val="00570815"/>
    <w:rsid w:val="005712F1"/>
    <w:rsid w:val="0057263B"/>
    <w:rsid w:val="00572884"/>
    <w:rsid w:val="00573C6C"/>
    <w:rsid w:val="00573CAC"/>
    <w:rsid w:val="0057594D"/>
    <w:rsid w:val="00576716"/>
    <w:rsid w:val="00576928"/>
    <w:rsid w:val="00580016"/>
    <w:rsid w:val="005807CB"/>
    <w:rsid w:val="00580C7B"/>
    <w:rsid w:val="00582715"/>
    <w:rsid w:val="005835C7"/>
    <w:rsid w:val="00586C41"/>
    <w:rsid w:val="00587888"/>
    <w:rsid w:val="0059210D"/>
    <w:rsid w:val="00594862"/>
    <w:rsid w:val="005948EA"/>
    <w:rsid w:val="00594AE6"/>
    <w:rsid w:val="00595B71"/>
    <w:rsid w:val="005A4958"/>
    <w:rsid w:val="005A5297"/>
    <w:rsid w:val="005B09FA"/>
    <w:rsid w:val="005B2064"/>
    <w:rsid w:val="005B3B3F"/>
    <w:rsid w:val="005B50AF"/>
    <w:rsid w:val="005B6DFC"/>
    <w:rsid w:val="005C025A"/>
    <w:rsid w:val="005C1594"/>
    <w:rsid w:val="005C22DA"/>
    <w:rsid w:val="005D0445"/>
    <w:rsid w:val="005D1CB3"/>
    <w:rsid w:val="005D1DA8"/>
    <w:rsid w:val="005D2A5F"/>
    <w:rsid w:val="005D3874"/>
    <w:rsid w:val="005D445B"/>
    <w:rsid w:val="005D451A"/>
    <w:rsid w:val="005D50A7"/>
    <w:rsid w:val="005D5F7C"/>
    <w:rsid w:val="005D7691"/>
    <w:rsid w:val="005E2F3C"/>
    <w:rsid w:val="005E34D6"/>
    <w:rsid w:val="005E5358"/>
    <w:rsid w:val="005F00D6"/>
    <w:rsid w:val="005F0526"/>
    <w:rsid w:val="005F0A59"/>
    <w:rsid w:val="005F1A52"/>
    <w:rsid w:val="005F1F6E"/>
    <w:rsid w:val="005F23D1"/>
    <w:rsid w:val="005F2679"/>
    <w:rsid w:val="005F40D9"/>
    <w:rsid w:val="005F5682"/>
    <w:rsid w:val="005F5FD8"/>
    <w:rsid w:val="005F7146"/>
    <w:rsid w:val="005F7EB0"/>
    <w:rsid w:val="00600FF7"/>
    <w:rsid w:val="00602AB5"/>
    <w:rsid w:val="006032A0"/>
    <w:rsid w:val="006034D7"/>
    <w:rsid w:val="006072F5"/>
    <w:rsid w:val="00614452"/>
    <w:rsid w:val="00615F9C"/>
    <w:rsid w:val="0062274C"/>
    <w:rsid w:val="0062474E"/>
    <w:rsid w:val="00626E5A"/>
    <w:rsid w:val="00627AA1"/>
    <w:rsid w:val="00630185"/>
    <w:rsid w:val="006311FD"/>
    <w:rsid w:val="00631248"/>
    <w:rsid w:val="00631434"/>
    <w:rsid w:val="00631B09"/>
    <w:rsid w:val="00635423"/>
    <w:rsid w:val="00637190"/>
    <w:rsid w:val="006400E6"/>
    <w:rsid w:val="00641204"/>
    <w:rsid w:val="0064362E"/>
    <w:rsid w:val="006437B5"/>
    <w:rsid w:val="00643E42"/>
    <w:rsid w:val="006473E7"/>
    <w:rsid w:val="00651346"/>
    <w:rsid w:val="00653D33"/>
    <w:rsid w:val="006620B6"/>
    <w:rsid w:val="006621C4"/>
    <w:rsid w:val="00662B6A"/>
    <w:rsid w:val="00664471"/>
    <w:rsid w:val="00665B73"/>
    <w:rsid w:val="00667DEA"/>
    <w:rsid w:val="0067166B"/>
    <w:rsid w:val="0067222D"/>
    <w:rsid w:val="006727DC"/>
    <w:rsid w:val="00673E71"/>
    <w:rsid w:val="00674910"/>
    <w:rsid w:val="00675DA5"/>
    <w:rsid w:val="00676CD5"/>
    <w:rsid w:val="00677D86"/>
    <w:rsid w:val="00681E56"/>
    <w:rsid w:val="00683121"/>
    <w:rsid w:val="00683882"/>
    <w:rsid w:val="00693129"/>
    <w:rsid w:val="006952F4"/>
    <w:rsid w:val="006A2310"/>
    <w:rsid w:val="006A3840"/>
    <w:rsid w:val="006A5C63"/>
    <w:rsid w:val="006C1E11"/>
    <w:rsid w:val="006C2856"/>
    <w:rsid w:val="006C29C4"/>
    <w:rsid w:val="006C3BEF"/>
    <w:rsid w:val="006C6644"/>
    <w:rsid w:val="006D16EC"/>
    <w:rsid w:val="006D58EE"/>
    <w:rsid w:val="006D5F6D"/>
    <w:rsid w:val="006E00F2"/>
    <w:rsid w:val="006E02AB"/>
    <w:rsid w:val="006E110C"/>
    <w:rsid w:val="006E1663"/>
    <w:rsid w:val="006E28F6"/>
    <w:rsid w:val="006E2926"/>
    <w:rsid w:val="006E36B5"/>
    <w:rsid w:val="006E4EAD"/>
    <w:rsid w:val="006E5543"/>
    <w:rsid w:val="006F14BE"/>
    <w:rsid w:val="006F63C8"/>
    <w:rsid w:val="006F6BF3"/>
    <w:rsid w:val="006F75B6"/>
    <w:rsid w:val="006F786B"/>
    <w:rsid w:val="00701C69"/>
    <w:rsid w:val="00702FCA"/>
    <w:rsid w:val="00707F22"/>
    <w:rsid w:val="00712130"/>
    <w:rsid w:val="00713F78"/>
    <w:rsid w:val="00714053"/>
    <w:rsid w:val="00715004"/>
    <w:rsid w:val="00716AD6"/>
    <w:rsid w:val="00717252"/>
    <w:rsid w:val="00720CB4"/>
    <w:rsid w:val="00721B50"/>
    <w:rsid w:val="00723F99"/>
    <w:rsid w:val="007243F3"/>
    <w:rsid w:val="00724613"/>
    <w:rsid w:val="0072484D"/>
    <w:rsid w:val="00725893"/>
    <w:rsid w:val="00725C04"/>
    <w:rsid w:val="00725F0B"/>
    <w:rsid w:val="0072643F"/>
    <w:rsid w:val="007309EB"/>
    <w:rsid w:val="00732130"/>
    <w:rsid w:val="00732C64"/>
    <w:rsid w:val="00733E1B"/>
    <w:rsid w:val="007364B8"/>
    <w:rsid w:val="00736771"/>
    <w:rsid w:val="00736E16"/>
    <w:rsid w:val="0074049E"/>
    <w:rsid w:val="00740A1F"/>
    <w:rsid w:val="00741247"/>
    <w:rsid w:val="0074248D"/>
    <w:rsid w:val="0074441E"/>
    <w:rsid w:val="00745196"/>
    <w:rsid w:val="00746FE4"/>
    <w:rsid w:val="007510C6"/>
    <w:rsid w:val="0075132A"/>
    <w:rsid w:val="007530A2"/>
    <w:rsid w:val="0075565C"/>
    <w:rsid w:val="00756A89"/>
    <w:rsid w:val="00757AB8"/>
    <w:rsid w:val="00757B56"/>
    <w:rsid w:val="00760560"/>
    <w:rsid w:val="007614D4"/>
    <w:rsid w:val="0076417A"/>
    <w:rsid w:val="00764D4F"/>
    <w:rsid w:val="00765FAF"/>
    <w:rsid w:val="007678EB"/>
    <w:rsid w:val="0077191A"/>
    <w:rsid w:val="00773F34"/>
    <w:rsid w:val="00774B8E"/>
    <w:rsid w:val="00781031"/>
    <w:rsid w:val="007A002F"/>
    <w:rsid w:val="007A0F04"/>
    <w:rsid w:val="007A1838"/>
    <w:rsid w:val="007A26FB"/>
    <w:rsid w:val="007A3006"/>
    <w:rsid w:val="007A3153"/>
    <w:rsid w:val="007A4884"/>
    <w:rsid w:val="007A5758"/>
    <w:rsid w:val="007A7B34"/>
    <w:rsid w:val="007B0C2E"/>
    <w:rsid w:val="007B4428"/>
    <w:rsid w:val="007B53EB"/>
    <w:rsid w:val="007B7D09"/>
    <w:rsid w:val="007C0F9D"/>
    <w:rsid w:val="007C133A"/>
    <w:rsid w:val="007C47AD"/>
    <w:rsid w:val="007C545A"/>
    <w:rsid w:val="007C59B9"/>
    <w:rsid w:val="007C6082"/>
    <w:rsid w:val="007C732E"/>
    <w:rsid w:val="007C73A0"/>
    <w:rsid w:val="007C7467"/>
    <w:rsid w:val="007D1B40"/>
    <w:rsid w:val="007D54A7"/>
    <w:rsid w:val="007D5DE1"/>
    <w:rsid w:val="007D6E72"/>
    <w:rsid w:val="007E180A"/>
    <w:rsid w:val="007E37A8"/>
    <w:rsid w:val="007E5CF3"/>
    <w:rsid w:val="007E7B55"/>
    <w:rsid w:val="007F220B"/>
    <w:rsid w:val="007F2DC3"/>
    <w:rsid w:val="007F625F"/>
    <w:rsid w:val="00800A13"/>
    <w:rsid w:val="008024E8"/>
    <w:rsid w:val="00803071"/>
    <w:rsid w:val="00803242"/>
    <w:rsid w:val="00803C70"/>
    <w:rsid w:val="00806DB0"/>
    <w:rsid w:val="008104E3"/>
    <w:rsid w:val="00811A55"/>
    <w:rsid w:val="008130D7"/>
    <w:rsid w:val="0081514F"/>
    <w:rsid w:val="008152E8"/>
    <w:rsid w:val="0082681A"/>
    <w:rsid w:val="00827AD2"/>
    <w:rsid w:val="00830DE6"/>
    <w:rsid w:val="00832B86"/>
    <w:rsid w:val="0083340B"/>
    <w:rsid w:val="008337FF"/>
    <w:rsid w:val="00834730"/>
    <w:rsid w:val="008356B2"/>
    <w:rsid w:val="00835888"/>
    <w:rsid w:val="00836C23"/>
    <w:rsid w:val="0084056B"/>
    <w:rsid w:val="008435C5"/>
    <w:rsid w:val="008464F9"/>
    <w:rsid w:val="00846C6C"/>
    <w:rsid w:val="00847154"/>
    <w:rsid w:val="00851924"/>
    <w:rsid w:val="00852879"/>
    <w:rsid w:val="008544F7"/>
    <w:rsid w:val="008547FF"/>
    <w:rsid w:val="00854D09"/>
    <w:rsid w:val="0085623C"/>
    <w:rsid w:val="0085664A"/>
    <w:rsid w:val="00860412"/>
    <w:rsid w:val="00861C9C"/>
    <w:rsid w:val="00863021"/>
    <w:rsid w:val="008730D7"/>
    <w:rsid w:val="008736B3"/>
    <w:rsid w:val="00874333"/>
    <w:rsid w:val="00877E57"/>
    <w:rsid w:val="008858F9"/>
    <w:rsid w:val="0088594F"/>
    <w:rsid w:val="008910AF"/>
    <w:rsid w:val="008911D2"/>
    <w:rsid w:val="00895A31"/>
    <w:rsid w:val="008A1893"/>
    <w:rsid w:val="008A22C3"/>
    <w:rsid w:val="008A238C"/>
    <w:rsid w:val="008A2F22"/>
    <w:rsid w:val="008A5730"/>
    <w:rsid w:val="008B19A4"/>
    <w:rsid w:val="008B31A8"/>
    <w:rsid w:val="008B5D74"/>
    <w:rsid w:val="008B6B4A"/>
    <w:rsid w:val="008C0CC5"/>
    <w:rsid w:val="008C1E33"/>
    <w:rsid w:val="008C417E"/>
    <w:rsid w:val="008C6D6A"/>
    <w:rsid w:val="008C6D76"/>
    <w:rsid w:val="008C703B"/>
    <w:rsid w:val="008D00DC"/>
    <w:rsid w:val="008D28B5"/>
    <w:rsid w:val="008D32AC"/>
    <w:rsid w:val="008D45C4"/>
    <w:rsid w:val="008D6194"/>
    <w:rsid w:val="008D620D"/>
    <w:rsid w:val="008E33AB"/>
    <w:rsid w:val="008E3641"/>
    <w:rsid w:val="008E3BED"/>
    <w:rsid w:val="008E44EC"/>
    <w:rsid w:val="008E48F0"/>
    <w:rsid w:val="008E4CD5"/>
    <w:rsid w:val="008E62C0"/>
    <w:rsid w:val="008E73A8"/>
    <w:rsid w:val="008F19A4"/>
    <w:rsid w:val="008F4C38"/>
    <w:rsid w:val="008F4FF6"/>
    <w:rsid w:val="008F5E94"/>
    <w:rsid w:val="008F712E"/>
    <w:rsid w:val="009003F5"/>
    <w:rsid w:val="009026A8"/>
    <w:rsid w:val="0090441C"/>
    <w:rsid w:val="009044C7"/>
    <w:rsid w:val="00904CBA"/>
    <w:rsid w:val="00905259"/>
    <w:rsid w:val="00905FF3"/>
    <w:rsid w:val="00910D78"/>
    <w:rsid w:val="009141A5"/>
    <w:rsid w:val="00915024"/>
    <w:rsid w:val="00915DE5"/>
    <w:rsid w:val="009177BF"/>
    <w:rsid w:val="00922588"/>
    <w:rsid w:val="009234A8"/>
    <w:rsid w:val="00923FDF"/>
    <w:rsid w:val="00927065"/>
    <w:rsid w:val="009271B5"/>
    <w:rsid w:val="009323F3"/>
    <w:rsid w:val="00932C81"/>
    <w:rsid w:val="00932E7F"/>
    <w:rsid w:val="00936314"/>
    <w:rsid w:val="00937C13"/>
    <w:rsid w:val="00941DB0"/>
    <w:rsid w:val="00947EC7"/>
    <w:rsid w:val="00950478"/>
    <w:rsid w:val="00953EEC"/>
    <w:rsid w:val="00955155"/>
    <w:rsid w:val="00956AA5"/>
    <w:rsid w:val="009601FB"/>
    <w:rsid w:val="00960741"/>
    <w:rsid w:val="00960972"/>
    <w:rsid w:val="00960F11"/>
    <w:rsid w:val="00962AF4"/>
    <w:rsid w:val="00963085"/>
    <w:rsid w:val="00963483"/>
    <w:rsid w:val="009652D0"/>
    <w:rsid w:val="009664F4"/>
    <w:rsid w:val="0096692B"/>
    <w:rsid w:val="00966B6C"/>
    <w:rsid w:val="009721C4"/>
    <w:rsid w:val="00973961"/>
    <w:rsid w:val="00974070"/>
    <w:rsid w:val="00974479"/>
    <w:rsid w:val="00984185"/>
    <w:rsid w:val="00985E72"/>
    <w:rsid w:val="0099131C"/>
    <w:rsid w:val="009928C0"/>
    <w:rsid w:val="009942FE"/>
    <w:rsid w:val="00994820"/>
    <w:rsid w:val="009977C1"/>
    <w:rsid w:val="00997AF9"/>
    <w:rsid w:val="009A048F"/>
    <w:rsid w:val="009A1881"/>
    <w:rsid w:val="009A2189"/>
    <w:rsid w:val="009A74A1"/>
    <w:rsid w:val="009B3A99"/>
    <w:rsid w:val="009B5A2F"/>
    <w:rsid w:val="009B697F"/>
    <w:rsid w:val="009B7E52"/>
    <w:rsid w:val="009C1C7B"/>
    <w:rsid w:val="009C2A54"/>
    <w:rsid w:val="009C3C1F"/>
    <w:rsid w:val="009C6DFD"/>
    <w:rsid w:val="009C6E12"/>
    <w:rsid w:val="009D5851"/>
    <w:rsid w:val="009D5991"/>
    <w:rsid w:val="009D6296"/>
    <w:rsid w:val="009D641A"/>
    <w:rsid w:val="009D696D"/>
    <w:rsid w:val="009D6ABB"/>
    <w:rsid w:val="009E20BE"/>
    <w:rsid w:val="009E41F0"/>
    <w:rsid w:val="009E5785"/>
    <w:rsid w:val="009E7E6C"/>
    <w:rsid w:val="009E7FF2"/>
    <w:rsid w:val="009F0479"/>
    <w:rsid w:val="009F0650"/>
    <w:rsid w:val="009F4E4D"/>
    <w:rsid w:val="009F5684"/>
    <w:rsid w:val="009F5A7C"/>
    <w:rsid w:val="009F67B5"/>
    <w:rsid w:val="00A01EA7"/>
    <w:rsid w:val="00A03327"/>
    <w:rsid w:val="00A0393E"/>
    <w:rsid w:val="00A03C62"/>
    <w:rsid w:val="00A11DF1"/>
    <w:rsid w:val="00A12E32"/>
    <w:rsid w:val="00A13612"/>
    <w:rsid w:val="00A14033"/>
    <w:rsid w:val="00A227F5"/>
    <w:rsid w:val="00A22E8E"/>
    <w:rsid w:val="00A244CF"/>
    <w:rsid w:val="00A26078"/>
    <w:rsid w:val="00A26953"/>
    <w:rsid w:val="00A31FB3"/>
    <w:rsid w:val="00A32A1A"/>
    <w:rsid w:val="00A33F75"/>
    <w:rsid w:val="00A36390"/>
    <w:rsid w:val="00A37098"/>
    <w:rsid w:val="00A4194E"/>
    <w:rsid w:val="00A44A60"/>
    <w:rsid w:val="00A45D01"/>
    <w:rsid w:val="00A50F5D"/>
    <w:rsid w:val="00A56270"/>
    <w:rsid w:val="00A567BE"/>
    <w:rsid w:val="00A57096"/>
    <w:rsid w:val="00A612A6"/>
    <w:rsid w:val="00A616CD"/>
    <w:rsid w:val="00A61F89"/>
    <w:rsid w:val="00A629DB"/>
    <w:rsid w:val="00A64564"/>
    <w:rsid w:val="00A6513F"/>
    <w:rsid w:val="00A65B3C"/>
    <w:rsid w:val="00A65BDD"/>
    <w:rsid w:val="00A65F16"/>
    <w:rsid w:val="00A7127F"/>
    <w:rsid w:val="00A73229"/>
    <w:rsid w:val="00A74994"/>
    <w:rsid w:val="00A74B13"/>
    <w:rsid w:val="00A75CB4"/>
    <w:rsid w:val="00A845B2"/>
    <w:rsid w:val="00A847B1"/>
    <w:rsid w:val="00A92EDC"/>
    <w:rsid w:val="00A93248"/>
    <w:rsid w:val="00A93453"/>
    <w:rsid w:val="00A963B5"/>
    <w:rsid w:val="00A96AFB"/>
    <w:rsid w:val="00A973A3"/>
    <w:rsid w:val="00AA1121"/>
    <w:rsid w:val="00AA73CE"/>
    <w:rsid w:val="00AB00D4"/>
    <w:rsid w:val="00AB03E6"/>
    <w:rsid w:val="00AB2319"/>
    <w:rsid w:val="00AB263C"/>
    <w:rsid w:val="00AB3052"/>
    <w:rsid w:val="00AB53E9"/>
    <w:rsid w:val="00AB6052"/>
    <w:rsid w:val="00AC566F"/>
    <w:rsid w:val="00AC6015"/>
    <w:rsid w:val="00AC6B8E"/>
    <w:rsid w:val="00AD1328"/>
    <w:rsid w:val="00AD291D"/>
    <w:rsid w:val="00AD577F"/>
    <w:rsid w:val="00AD631D"/>
    <w:rsid w:val="00AD747A"/>
    <w:rsid w:val="00AD789E"/>
    <w:rsid w:val="00AE061F"/>
    <w:rsid w:val="00AE215C"/>
    <w:rsid w:val="00AE24CB"/>
    <w:rsid w:val="00AE348A"/>
    <w:rsid w:val="00AE55A6"/>
    <w:rsid w:val="00AE628C"/>
    <w:rsid w:val="00AF20B1"/>
    <w:rsid w:val="00AF2BA7"/>
    <w:rsid w:val="00AF5351"/>
    <w:rsid w:val="00AF63AD"/>
    <w:rsid w:val="00AF6927"/>
    <w:rsid w:val="00AF7124"/>
    <w:rsid w:val="00AF7F10"/>
    <w:rsid w:val="00B00762"/>
    <w:rsid w:val="00B007C2"/>
    <w:rsid w:val="00B0083B"/>
    <w:rsid w:val="00B05E0C"/>
    <w:rsid w:val="00B122CB"/>
    <w:rsid w:val="00B123F7"/>
    <w:rsid w:val="00B128E8"/>
    <w:rsid w:val="00B14880"/>
    <w:rsid w:val="00B24A4D"/>
    <w:rsid w:val="00B26311"/>
    <w:rsid w:val="00B263CA"/>
    <w:rsid w:val="00B2775F"/>
    <w:rsid w:val="00B31620"/>
    <w:rsid w:val="00B3260A"/>
    <w:rsid w:val="00B362AA"/>
    <w:rsid w:val="00B40B4A"/>
    <w:rsid w:val="00B41B79"/>
    <w:rsid w:val="00B43619"/>
    <w:rsid w:val="00B43D27"/>
    <w:rsid w:val="00B52B93"/>
    <w:rsid w:val="00B52D8E"/>
    <w:rsid w:val="00B53E8D"/>
    <w:rsid w:val="00B5417F"/>
    <w:rsid w:val="00B5449A"/>
    <w:rsid w:val="00B631DB"/>
    <w:rsid w:val="00B64966"/>
    <w:rsid w:val="00B67202"/>
    <w:rsid w:val="00B673CD"/>
    <w:rsid w:val="00B67D5D"/>
    <w:rsid w:val="00B71728"/>
    <w:rsid w:val="00B72EE7"/>
    <w:rsid w:val="00B744C6"/>
    <w:rsid w:val="00B75C7C"/>
    <w:rsid w:val="00B75F69"/>
    <w:rsid w:val="00B80E20"/>
    <w:rsid w:val="00B830B7"/>
    <w:rsid w:val="00B832FB"/>
    <w:rsid w:val="00B85EEA"/>
    <w:rsid w:val="00B86708"/>
    <w:rsid w:val="00B87212"/>
    <w:rsid w:val="00B900B8"/>
    <w:rsid w:val="00B91BDD"/>
    <w:rsid w:val="00B91CD5"/>
    <w:rsid w:val="00B92478"/>
    <w:rsid w:val="00B94819"/>
    <w:rsid w:val="00BA1588"/>
    <w:rsid w:val="00BA4A47"/>
    <w:rsid w:val="00BA6986"/>
    <w:rsid w:val="00BA6BCA"/>
    <w:rsid w:val="00BB1021"/>
    <w:rsid w:val="00BB10A0"/>
    <w:rsid w:val="00BB422B"/>
    <w:rsid w:val="00BB5B91"/>
    <w:rsid w:val="00BB75C0"/>
    <w:rsid w:val="00BB7C0E"/>
    <w:rsid w:val="00BC118F"/>
    <w:rsid w:val="00BC12F4"/>
    <w:rsid w:val="00BC17E2"/>
    <w:rsid w:val="00BC30AB"/>
    <w:rsid w:val="00BC341B"/>
    <w:rsid w:val="00BC3AEF"/>
    <w:rsid w:val="00BC67D0"/>
    <w:rsid w:val="00BC68FE"/>
    <w:rsid w:val="00BD1E15"/>
    <w:rsid w:val="00BD4E57"/>
    <w:rsid w:val="00BD7DF2"/>
    <w:rsid w:val="00BE0394"/>
    <w:rsid w:val="00BE28DA"/>
    <w:rsid w:val="00BE4BD9"/>
    <w:rsid w:val="00BE60B2"/>
    <w:rsid w:val="00BF18BF"/>
    <w:rsid w:val="00BF39C4"/>
    <w:rsid w:val="00BF54D5"/>
    <w:rsid w:val="00BF6DF5"/>
    <w:rsid w:val="00BF7353"/>
    <w:rsid w:val="00C00349"/>
    <w:rsid w:val="00C0042E"/>
    <w:rsid w:val="00C02EC1"/>
    <w:rsid w:val="00C03821"/>
    <w:rsid w:val="00C06014"/>
    <w:rsid w:val="00C06F19"/>
    <w:rsid w:val="00C07B74"/>
    <w:rsid w:val="00C124E6"/>
    <w:rsid w:val="00C124F6"/>
    <w:rsid w:val="00C14C86"/>
    <w:rsid w:val="00C2178D"/>
    <w:rsid w:val="00C24059"/>
    <w:rsid w:val="00C241C9"/>
    <w:rsid w:val="00C26FCF"/>
    <w:rsid w:val="00C27C13"/>
    <w:rsid w:val="00C27E9D"/>
    <w:rsid w:val="00C30F12"/>
    <w:rsid w:val="00C36546"/>
    <w:rsid w:val="00C4096F"/>
    <w:rsid w:val="00C40BB4"/>
    <w:rsid w:val="00C410E7"/>
    <w:rsid w:val="00C41A69"/>
    <w:rsid w:val="00C428D7"/>
    <w:rsid w:val="00C47A4E"/>
    <w:rsid w:val="00C47F16"/>
    <w:rsid w:val="00C525D9"/>
    <w:rsid w:val="00C531CA"/>
    <w:rsid w:val="00C55EE7"/>
    <w:rsid w:val="00C57DB5"/>
    <w:rsid w:val="00C600AD"/>
    <w:rsid w:val="00C63B71"/>
    <w:rsid w:val="00C654CF"/>
    <w:rsid w:val="00C66CD2"/>
    <w:rsid w:val="00C7297C"/>
    <w:rsid w:val="00C72A2A"/>
    <w:rsid w:val="00C80345"/>
    <w:rsid w:val="00C80AD1"/>
    <w:rsid w:val="00C80BFF"/>
    <w:rsid w:val="00C81202"/>
    <w:rsid w:val="00C81DC0"/>
    <w:rsid w:val="00C81FAE"/>
    <w:rsid w:val="00C84D71"/>
    <w:rsid w:val="00C90586"/>
    <w:rsid w:val="00C905EC"/>
    <w:rsid w:val="00C9793D"/>
    <w:rsid w:val="00CA0A29"/>
    <w:rsid w:val="00CA304A"/>
    <w:rsid w:val="00CA371D"/>
    <w:rsid w:val="00CA4433"/>
    <w:rsid w:val="00CA6683"/>
    <w:rsid w:val="00CB006B"/>
    <w:rsid w:val="00CB1008"/>
    <w:rsid w:val="00CB2938"/>
    <w:rsid w:val="00CB5202"/>
    <w:rsid w:val="00CC1C91"/>
    <w:rsid w:val="00CC2070"/>
    <w:rsid w:val="00CC46B8"/>
    <w:rsid w:val="00CC5651"/>
    <w:rsid w:val="00CC6EE4"/>
    <w:rsid w:val="00CD18EC"/>
    <w:rsid w:val="00CD50B4"/>
    <w:rsid w:val="00CD657E"/>
    <w:rsid w:val="00CD7ABA"/>
    <w:rsid w:val="00CE11C5"/>
    <w:rsid w:val="00CE188B"/>
    <w:rsid w:val="00CE1ADA"/>
    <w:rsid w:val="00CE2D3C"/>
    <w:rsid w:val="00CE4FDB"/>
    <w:rsid w:val="00CE50A1"/>
    <w:rsid w:val="00CE618A"/>
    <w:rsid w:val="00CE680E"/>
    <w:rsid w:val="00CE70CC"/>
    <w:rsid w:val="00CE75CB"/>
    <w:rsid w:val="00CF07FB"/>
    <w:rsid w:val="00CF1159"/>
    <w:rsid w:val="00CF3E59"/>
    <w:rsid w:val="00CF4F94"/>
    <w:rsid w:val="00D04CA0"/>
    <w:rsid w:val="00D07CBF"/>
    <w:rsid w:val="00D11FBD"/>
    <w:rsid w:val="00D12BEA"/>
    <w:rsid w:val="00D13C82"/>
    <w:rsid w:val="00D143C0"/>
    <w:rsid w:val="00D1472B"/>
    <w:rsid w:val="00D20A99"/>
    <w:rsid w:val="00D21C22"/>
    <w:rsid w:val="00D27B33"/>
    <w:rsid w:val="00D40949"/>
    <w:rsid w:val="00D41805"/>
    <w:rsid w:val="00D419A2"/>
    <w:rsid w:val="00D43291"/>
    <w:rsid w:val="00D44043"/>
    <w:rsid w:val="00D462E4"/>
    <w:rsid w:val="00D464BF"/>
    <w:rsid w:val="00D470D4"/>
    <w:rsid w:val="00D5017C"/>
    <w:rsid w:val="00D5793F"/>
    <w:rsid w:val="00D57F03"/>
    <w:rsid w:val="00D6002D"/>
    <w:rsid w:val="00D607AF"/>
    <w:rsid w:val="00D63761"/>
    <w:rsid w:val="00D66672"/>
    <w:rsid w:val="00D66DFA"/>
    <w:rsid w:val="00D66FE9"/>
    <w:rsid w:val="00D67200"/>
    <w:rsid w:val="00D7428D"/>
    <w:rsid w:val="00D7586D"/>
    <w:rsid w:val="00D75BFD"/>
    <w:rsid w:val="00D763E9"/>
    <w:rsid w:val="00D76693"/>
    <w:rsid w:val="00D77FB3"/>
    <w:rsid w:val="00D80515"/>
    <w:rsid w:val="00D82F90"/>
    <w:rsid w:val="00D83DCC"/>
    <w:rsid w:val="00D95087"/>
    <w:rsid w:val="00DA1F27"/>
    <w:rsid w:val="00DA2B2B"/>
    <w:rsid w:val="00DA3591"/>
    <w:rsid w:val="00DA431B"/>
    <w:rsid w:val="00DA6087"/>
    <w:rsid w:val="00DB1D1C"/>
    <w:rsid w:val="00DB454B"/>
    <w:rsid w:val="00DB7E36"/>
    <w:rsid w:val="00DC30C8"/>
    <w:rsid w:val="00DC4E9D"/>
    <w:rsid w:val="00DC6AF8"/>
    <w:rsid w:val="00DD088F"/>
    <w:rsid w:val="00DD2B60"/>
    <w:rsid w:val="00DD2FFF"/>
    <w:rsid w:val="00DD3688"/>
    <w:rsid w:val="00DD43F8"/>
    <w:rsid w:val="00DD5D5C"/>
    <w:rsid w:val="00DD6E49"/>
    <w:rsid w:val="00DE1B92"/>
    <w:rsid w:val="00DE3818"/>
    <w:rsid w:val="00DE5E37"/>
    <w:rsid w:val="00DE6F74"/>
    <w:rsid w:val="00DE6FB1"/>
    <w:rsid w:val="00DF17A0"/>
    <w:rsid w:val="00DF4F2F"/>
    <w:rsid w:val="00DF5F06"/>
    <w:rsid w:val="00DF6254"/>
    <w:rsid w:val="00DF6B6A"/>
    <w:rsid w:val="00DF79F8"/>
    <w:rsid w:val="00E0443C"/>
    <w:rsid w:val="00E11CAD"/>
    <w:rsid w:val="00E1265B"/>
    <w:rsid w:val="00E12927"/>
    <w:rsid w:val="00E142F4"/>
    <w:rsid w:val="00E17D74"/>
    <w:rsid w:val="00E208C4"/>
    <w:rsid w:val="00E20F45"/>
    <w:rsid w:val="00E2231D"/>
    <w:rsid w:val="00E232F9"/>
    <w:rsid w:val="00E24D74"/>
    <w:rsid w:val="00E2577C"/>
    <w:rsid w:val="00E25DD6"/>
    <w:rsid w:val="00E25F95"/>
    <w:rsid w:val="00E26D21"/>
    <w:rsid w:val="00E27A29"/>
    <w:rsid w:val="00E31566"/>
    <w:rsid w:val="00E31D07"/>
    <w:rsid w:val="00E32DC0"/>
    <w:rsid w:val="00E33C73"/>
    <w:rsid w:val="00E362F8"/>
    <w:rsid w:val="00E36682"/>
    <w:rsid w:val="00E42355"/>
    <w:rsid w:val="00E45CAD"/>
    <w:rsid w:val="00E5006E"/>
    <w:rsid w:val="00E51A40"/>
    <w:rsid w:val="00E5435F"/>
    <w:rsid w:val="00E54936"/>
    <w:rsid w:val="00E549A3"/>
    <w:rsid w:val="00E54E08"/>
    <w:rsid w:val="00E552D6"/>
    <w:rsid w:val="00E55C2D"/>
    <w:rsid w:val="00E55EC4"/>
    <w:rsid w:val="00E569EC"/>
    <w:rsid w:val="00E5707E"/>
    <w:rsid w:val="00E61A11"/>
    <w:rsid w:val="00E62B24"/>
    <w:rsid w:val="00E669A6"/>
    <w:rsid w:val="00E66D18"/>
    <w:rsid w:val="00E70F7C"/>
    <w:rsid w:val="00E72758"/>
    <w:rsid w:val="00E72A9C"/>
    <w:rsid w:val="00E72FFC"/>
    <w:rsid w:val="00E73E72"/>
    <w:rsid w:val="00E77AF7"/>
    <w:rsid w:val="00E82333"/>
    <w:rsid w:val="00E83D7C"/>
    <w:rsid w:val="00E90C58"/>
    <w:rsid w:val="00E90DDE"/>
    <w:rsid w:val="00E91315"/>
    <w:rsid w:val="00E94F2B"/>
    <w:rsid w:val="00E96F5B"/>
    <w:rsid w:val="00E9765B"/>
    <w:rsid w:val="00E97DE5"/>
    <w:rsid w:val="00EA2ADB"/>
    <w:rsid w:val="00EA3E16"/>
    <w:rsid w:val="00EA61A3"/>
    <w:rsid w:val="00EA6832"/>
    <w:rsid w:val="00EA7310"/>
    <w:rsid w:val="00EB0E3F"/>
    <w:rsid w:val="00EB1263"/>
    <w:rsid w:val="00EB2B56"/>
    <w:rsid w:val="00EB313B"/>
    <w:rsid w:val="00EB3C0C"/>
    <w:rsid w:val="00EB4801"/>
    <w:rsid w:val="00EB48D0"/>
    <w:rsid w:val="00EB50B3"/>
    <w:rsid w:val="00EC0015"/>
    <w:rsid w:val="00EC05EF"/>
    <w:rsid w:val="00EC0B7B"/>
    <w:rsid w:val="00EC435D"/>
    <w:rsid w:val="00EC57FB"/>
    <w:rsid w:val="00EC770A"/>
    <w:rsid w:val="00ED00CD"/>
    <w:rsid w:val="00ED33A6"/>
    <w:rsid w:val="00ED4173"/>
    <w:rsid w:val="00ED514A"/>
    <w:rsid w:val="00ED516F"/>
    <w:rsid w:val="00EE045D"/>
    <w:rsid w:val="00EE2295"/>
    <w:rsid w:val="00EE286E"/>
    <w:rsid w:val="00EE35BD"/>
    <w:rsid w:val="00EE3DC4"/>
    <w:rsid w:val="00EE4BF2"/>
    <w:rsid w:val="00EE586C"/>
    <w:rsid w:val="00EE7531"/>
    <w:rsid w:val="00F01474"/>
    <w:rsid w:val="00F01FAA"/>
    <w:rsid w:val="00F02AEF"/>
    <w:rsid w:val="00F0481C"/>
    <w:rsid w:val="00F05EF2"/>
    <w:rsid w:val="00F0743F"/>
    <w:rsid w:val="00F1580E"/>
    <w:rsid w:val="00F1765F"/>
    <w:rsid w:val="00F21583"/>
    <w:rsid w:val="00F222DA"/>
    <w:rsid w:val="00F2282B"/>
    <w:rsid w:val="00F23786"/>
    <w:rsid w:val="00F2566C"/>
    <w:rsid w:val="00F301A4"/>
    <w:rsid w:val="00F31411"/>
    <w:rsid w:val="00F3380A"/>
    <w:rsid w:val="00F348D6"/>
    <w:rsid w:val="00F35C42"/>
    <w:rsid w:val="00F37C17"/>
    <w:rsid w:val="00F37EAE"/>
    <w:rsid w:val="00F4003D"/>
    <w:rsid w:val="00F43726"/>
    <w:rsid w:val="00F44066"/>
    <w:rsid w:val="00F529F0"/>
    <w:rsid w:val="00F56D63"/>
    <w:rsid w:val="00F61073"/>
    <w:rsid w:val="00F6281C"/>
    <w:rsid w:val="00F62E7B"/>
    <w:rsid w:val="00F64747"/>
    <w:rsid w:val="00F70A49"/>
    <w:rsid w:val="00F710DC"/>
    <w:rsid w:val="00F72A30"/>
    <w:rsid w:val="00F74B9E"/>
    <w:rsid w:val="00F75412"/>
    <w:rsid w:val="00F7769E"/>
    <w:rsid w:val="00F81567"/>
    <w:rsid w:val="00F82449"/>
    <w:rsid w:val="00F8266D"/>
    <w:rsid w:val="00F84320"/>
    <w:rsid w:val="00F84434"/>
    <w:rsid w:val="00F84E25"/>
    <w:rsid w:val="00F924A0"/>
    <w:rsid w:val="00F93164"/>
    <w:rsid w:val="00F93CA4"/>
    <w:rsid w:val="00F95BB2"/>
    <w:rsid w:val="00F96387"/>
    <w:rsid w:val="00FA0B6C"/>
    <w:rsid w:val="00FA22C9"/>
    <w:rsid w:val="00FA6325"/>
    <w:rsid w:val="00FA6E22"/>
    <w:rsid w:val="00FB0EDC"/>
    <w:rsid w:val="00FB1A3E"/>
    <w:rsid w:val="00FB32EC"/>
    <w:rsid w:val="00FB39A9"/>
    <w:rsid w:val="00FB60FA"/>
    <w:rsid w:val="00FC2887"/>
    <w:rsid w:val="00FC7E53"/>
    <w:rsid w:val="00FD040D"/>
    <w:rsid w:val="00FD041A"/>
    <w:rsid w:val="00FD382B"/>
    <w:rsid w:val="00FD3EC8"/>
    <w:rsid w:val="00FD5D82"/>
    <w:rsid w:val="00FD66EF"/>
    <w:rsid w:val="00FE281C"/>
    <w:rsid w:val="00FE5C9B"/>
    <w:rsid w:val="00FE75FC"/>
    <w:rsid w:val="00FF01C8"/>
    <w:rsid w:val="00FF1565"/>
    <w:rsid w:val="00FF1FC7"/>
    <w:rsid w:val="00FF3ADA"/>
    <w:rsid w:val="00FF7DA3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12FAA"/>
  <w15:docId w15:val="{21316179-A5F0-4CA2-A398-79DD0E95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AddressArea">
    <w:name w:val="Address Area"/>
    <w:pPr>
      <w:spacing w:line="200" w:lineRule="exact"/>
      <w:ind w:left="612"/>
    </w:pPr>
    <w:rPr>
      <w:rFonts w:ascii="Futura Bk BT" w:eastAsia="Futura Bk BT" w:hAnsi="Futura Bk BT" w:cs="Futura Bk BT"/>
      <w:color w:val="000000"/>
      <w:spacing w:val="10"/>
      <w:sz w:val="16"/>
      <w:szCs w:val="16"/>
      <w:u w:color="000000"/>
      <w:lang w:val="en-US"/>
    </w:rPr>
  </w:style>
  <w:style w:type="paragraph" w:customStyle="1" w:styleId="MainText">
    <w:name w:val="Main Text"/>
    <w:pPr>
      <w:spacing w:line="300" w:lineRule="exact"/>
      <w:ind w:left="12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color w:val="0000FF"/>
      <w:u w:val="single" w:color="0000FF"/>
    </w:rPr>
  </w:style>
  <w:style w:type="paragraph" w:customStyle="1" w:styleId="Tmavseznamzvraznn51">
    <w:name w:val="Tmavý seznam – zvýraznění 51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Odkaz"/>
    <w:rPr>
      <w:color w:val="0000FF"/>
      <w:sz w:val="24"/>
      <w:szCs w:val="24"/>
      <w:u w:val="single" w:color="0000FF"/>
    </w:rPr>
  </w:style>
  <w:style w:type="character" w:customStyle="1" w:styleId="dn">
    <w:name w:val="Žádný"/>
  </w:style>
  <w:style w:type="character" w:customStyle="1" w:styleId="Hyperlink2">
    <w:name w:val="Hyperlink.2"/>
    <w:basedOn w:val="dn"/>
    <w:rPr>
      <w:rFonts w:ascii="Calibri" w:eastAsia="Calibri" w:hAnsi="Calibri" w:cs="Calibri"/>
      <w:color w:val="0000FF"/>
      <w:sz w:val="18"/>
      <w:szCs w:val="18"/>
      <w:u w:val="single" w:color="0000FF"/>
    </w:rPr>
  </w:style>
  <w:style w:type="paragraph" w:styleId="Normlnweb">
    <w:name w:val="Normal (Web)"/>
    <w:basedOn w:val="Normln"/>
    <w:uiPriority w:val="99"/>
    <w:semiHidden/>
    <w:unhideWhenUsed/>
    <w:rsid w:val="005878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2F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F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FFC"/>
    <w:rPr>
      <w:rFonts w:cs="Arial Unicode MS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F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FFC"/>
    <w:rPr>
      <w:rFonts w:cs="Arial Unicode MS"/>
      <w:b/>
      <w:bCs/>
      <w:color w:val="000000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F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FFC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1035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35ED"/>
    <w:rPr>
      <w:rFonts w:cs="Arial Unicode MS"/>
      <w:color w:val="000000"/>
      <w:sz w:val="24"/>
      <w:szCs w:val="24"/>
      <w:u w:color="000000"/>
      <w:lang w:val="en-US"/>
    </w:rPr>
  </w:style>
  <w:style w:type="paragraph" w:styleId="Revize">
    <w:name w:val="Revision"/>
    <w:hidden/>
    <w:uiPriority w:val="99"/>
    <w:semiHidden/>
    <w:rsid w:val="00BB5B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7D5DE1"/>
    <w:rPr>
      <w:color w:val="605E5C"/>
      <w:shd w:val="clear" w:color="auto" w:fill="E1DFDD"/>
    </w:rPr>
  </w:style>
  <w:style w:type="character" w:customStyle="1" w:styleId="tlid-translation">
    <w:name w:val="tlid-translation"/>
    <w:basedOn w:val="Standardnpsmoodstavce"/>
    <w:rsid w:val="00665B73"/>
  </w:style>
  <w:style w:type="character" w:customStyle="1" w:styleId="normaltextrun">
    <w:name w:val="normaltextrun"/>
    <w:basedOn w:val="Standardnpsmoodstavce"/>
    <w:rsid w:val="00AC566F"/>
  </w:style>
  <w:style w:type="paragraph" w:customStyle="1" w:styleId="paragraph">
    <w:name w:val="paragraph"/>
    <w:basedOn w:val="Normln"/>
    <w:rsid w:val="00AC56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customStyle="1" w:styleId="eop">
    <w:name w:val="eop"/>
    <w:basedOn w:val="Standardnpsmoodstavce"/>
    <w:rsid w:val="00AC566F"/>
  </w:style>
  <w:style w:type="character" w:customStyle="1" w:styleId="spellingerror">
    <w:name w:val="spellingerror"/>
    <w:basedOn w:val="Standardnpsmoodstavce"/>
    <w:rsid w:val="00AC566F"/>
  </w:style>
  <w:style w:type="character" w:customStyle="1" w:styleId="scxw231575668">
    <w:name w:val="scxw231575668"/>
    <w:basedOn w:val="Standardnpsmoodstavce"/>
    <w:rsid w:val="00AC566F"/>
  </w:style>
  <w:style w:type="paragraph" w:styleId="Odstavecseseznamem">
    <w:name w:val="List Paragraph"/>
    <w:basedOn w:val="Normln"/>
    <w:uiPriority w:val="34"/>
    <w:qFormat/>
    <w:rsid w:val="004B353F"/>
    <w:pPr>
      <w:ind w:left="720"/>
      <w:contextualSpacing/>
    </w:pPr>
  </w:style>
  <w:style w:type="table" w:styleId="Mkatabulky">
    <w:name w:val="Table Grid"/>
    <w:basedOn w:val="Normlntabulka"/>
    <w:uiPriority w:val="39"/>
    <w:rsid w:val="00C003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file-info-boxposition">
    <w:name w:val="profile-info-box__position"/>
    <w:basedOn w:val="Standardnpsmoodstavce"/>
    <w:rsid w:val="00300A1A"/>
  </w:style>
  <w:style w:type="paragraph" w:customStyle="1" w:styleId="xxmsonormal">
    <w:name w:val="x_xmsonormal"/>
    <w:basedOn w:val="Normln"/>
    <w:rsid w:val="00295C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5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7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6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nata.mrazova@cbre.com" TargetMode="External"/><Relationship Id="rId18" Type="http://schemas.openxmlformats.org/officeDocument/2006/relationships/header" Target="header1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crestcom.cz/cz" TargetMode="External"/><Relationship Id="rId17" Type="http://schemas.openxmlformats.org/officeDocument/2006/relationships/hyperlink" Target="http://www.cbre.cz/" TargetMode="Externa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cbre_cz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mila.cadkova@crestcom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3585825?trk=tyah&amp;trkInfo=clickedVertical%253Acompany%252Cidx%253A1-1-1%252CtarId%253A1431360641868%252Ctas%253Acbre%2520czech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pages/CBRE-News/626929170775263?ref=ts&amp;fref=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D253257BADF0469838ECFAE4D6628C" ma:contentTypeVersion="10" ma:contentTypeDescription="Create a new document." ma:contentTypeScope="" ma:versionID="0ba23ebae2992f8578f481306f69d0ee">
  <xsd:schema xmlns:xsd="http://www.w3.org/2001/XMLSchema" xmlns:xs="http://www.w3.org/2001/XMLSchema" xmlns:p="http://schemas.microsoft.com/office/2006/metadata/properties" xmlns:ns3="b61534e1-4729-4622-8633-5439ba4dec32" targetNamespace="http://schemas.microsoft.com/office/2006/metadata/properties" ma:root="true" ma:fieldsID="f192cd5bf4ee879a0258544ae0841d59" ns3:_="">
    <xsd:import namespace="b61534e1-4729-4622-8633-5439ba4dec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534e1-4729-4622-8633-5439ba4de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80DEA-0C73-40A6-9EA7-19C5F46816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8DE42B-98E2-4077-96E9-C17B6A43F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534e1-4729-4622-8633-5439ba4de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949A0F-A29E-405F-ADE2-D58EE6B4B1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245D78-8EEE-4067-AF5A-59DE3B6B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2446</Words>
  <Characters>14438</Characters>
  <Application>Microsoft Office Word</Application>
  <DocSecurity>0</DocSecurity>
  <Lines>120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Karasova, Kamila @ PRAGUE</dc:creator>
  <cp:lastModifiedBy>Notebook</cp:lastModifiedBy>
  <cp:revision>4</cp:revision>
  <cp:lastPrinted>2021-06-17T09:16:00Z</cp:lastPrinted>
  <dcterms:created xsi:type="dcterms:W3CDTF">2021-06-22T07:41:00Z</dcterms:created>
  <dcterms:modified xsi:type="dcterms:W3CDTF">2021-06-22T08:03:00Z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0x0101005FD253257BADF0469838ECFAE4D6628C</vt:lpwstr>
  </property>
</Properties>
</file>